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6DEA0ECB"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27043D">
        <w:rPr>
          <w:rFonts w:ascii="Times New Roman" w:hAnsi="Times New Roman" w:cs="Times New Roman"/>
          <w:b/>
          <w:sz w:val="28"/>
          <w:szCs w:val="24"/>
        </w:rPr>
        <w:t>5</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F7686E">
        <w:rPr>
          <w:rFonts w:ascii="Times New Roman" w:hAnsi="Times New Roman" w:cs="Times New Roman"/>
          <w:b/>
          <w:sz w:val="28"/>
          <w:szCs w:val="24"/>
        </w:rPr>
        <w:t>9</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rPr>
          <w:gridAfter w:val="1"/>
          <w:wAfter w:w="13" w:type="dxa"/>
        </w:trPr>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rPr>
          <w:gridAfter w:val="1"/>
          <w:wAfter w:w="13" w:type="dxa"/>
        </w:trPr>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5BE10FF6"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9536D5" w:rsidRPr="00D94998">
              <w:rPr>
                <w:rFonts w:ascii="Times New Roman" w:hAnsi="Times New Roman"/>
                <w:b/>
                <w:sz w:val="24"/>
                <w:szCs w:val="24"/>
                <w:lang w:eastAsia="lv-LV"/>
              </w:rPr>
              <w:t>818,5</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9536D5">
              <w:rPr>
                <w:rFonts w:ascii="Times New Roman" w:hAnsi="Times New Roman"/>
                <w:sz w:val="24"/>
                <w:szCs w:val="24"/>
                <w:lang w:eastAsia="lv-LV"/>
              </w:rPr>
              <w:t>827,3</w:t>
            </w:r>
            <w:r w:rsidR="006E7053">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rPr>
          <w:gridAfter w:val="1"/>
          <w:wAfter w:w="13" w:type="dxa"/>
        </w:trPr>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3E2E86">
            <w:pPr>
              <w:pStyle w:val="ListParagraph"/>
              <w:tabs>
                <w:tab w:val="left" w:pos="993"/>
              </w:tabs>
              <w:ind w:left="286"/>
              <w:rPr>
                <w:rFonts w:ascii="Times New Roman" w:hAnsi="Times New Roman" w:cs="Times New Roman"/>
              </w:rPr>
            </w:pPr>
          </w:p>
        </w:tc>
        <w:tc>
          <w:tcPr>
            <w:tcW w:w="7046" w:type="dxa"/>
          </w:tcPr>
          <w:p w14:paraId="730C776E" w14:textId="70CD61B1"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AB632B">
              <w:rPr>
                <w:rFonts w:ascii="Times New Roman" w:hAnsi="Times New Roman"/>
                <w:i/>
                <w:sz w:val="24"/>
                <w:szCs w:val="24"/>
                <w:lang w:eastAsia="lv-LV"/>
              </w:rPr>
              <w:t>5</w:t>
            </w:r>
            <w:r w:rsidRPr="00787F0F">
              <w:rPr>
                <w:rFonts w:ascii="Times New Roman" w:hAnsi="Times New Roman"/>
                <w:i/>
                <w:sz w:val="24"/>
                <w:szCs w:val="24"/>
                <w:lang w:eastAsia="lv-LV"/>
              </w:rPr>
              <w:t xml:space="preserve">. gada </w:t>
            </w:r>
            <w:r w:rsidR="005F5C20">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67B9981F"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bookmarkStart w:id="0" w:name="_GoBack"/>
            <w:r w:rsidR="005F5C20" w:rsidRPr="006E1E98">
              <w:rPr>
                <w:rFonts w:ascii="Times New Roman" w:hAnsi="Times New Roman"/>
                <w:b/>
                <w:sz w:val="24"/>
                <w:szCs w:val="24"/>
                <w:lang w:eastAsia="lv-LV"/>
              </w:rPr>
              <w:t>60 392</w:t>
            </w:r>
            <w:r>
              <w:rPr>
                <w:rFonts w:ascii="Times New Roman" w:hAnsi="Times New Roman"/>
                <w:sz w:val="24"/>
                <w:szCs w:val="24"/>
                <w:lang w:eastAsia="lv-LV"/>
              </w:rPr>
              <w:t xml:space="preserve"> </w:t>
            </w:r>
            <w:bookmarkEnd w:id="0"/>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3E59D916"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DF3DF5">
              <w:rPr>
                <w:rFonts w:ascii="Times New Roman" w:hAnsi="Times New Roman"/>
                <w:b/>
                <w:i/>
                <w:sz w:val="24"/>
                <w:szCs w:val="24"/>
                <w:u w:val="single"/>
                <w:lang w:eastAsia="lv-LV"/>
              </w:rPr>
              <w:t>345 860,44</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37A3DFF1" w14:textId="1847B48F" w:rsidR="00BB4F8E" w:rsidRDefault="00BB4F8E" w:rsidP="00892D41">
            <w:pPr>
              <w:ind w:left="567"/>
              <w:jc w:val="both"/>
              <w:rPr>
                <w:rFonts w:ascii="Times New Roman" w:hAnsi="Times New Roman"/>
                <w:sz w:val="24"/>
                <w:szCs w:val="24"/>
                <w:lang w:eastAsia="lv-LV"/>
              </w:rPr>
            </w:pPr>
            <w:r w:rsidRPr="00305B5A">
              <w:rPr>
                <w:rFonts w:ascii="Times New Roman" w:hAnsi="Times New Roman"/>
                <w:sz w:val="24"/>
                <w:szCs w:val="24"/>
                <w:lang w:eastAsia="lv-LV"/>
              </w:rPr>
              <w:t xml:space="preserve">filiālei “Litene” par </w:t>
            </w:r>
            <w:r w:rsidR="00DF3DF5">
              <w:rPr>
                <w:rFonts w:ascii="Times New Roman" w:hAnsi="Times New Roman"/>
                <w:sz w:val="24"/>
                <w:szCs w:val="24"/>
                <w:lang w:eastAsia="lv-LV"/>
              </w:rPr>
              <w:t>260 879,90</w:t>
            </w:r>
            <w:r w:rsidRPr="00305B5A">
              <w:rPr>
                <w:rFonts w:ascii="Times New Roman" w:hAnsi="Times New Roman"/>
                <w:sz w:val="24"/>
                <w:szCs w:val="24"/>
                <w:lang w:eastAsia="lv-LV"/>
              </w:rPr>
              <w:t xml:space="preserve"> </w:t>
            </w:r>
            <w:r w:rsidRPr="00305B5A">
              <w:rPr>
                <w:rFonts w:ascii="Times New Roman" w:hAnsi="Times New Roman"/>
                <w:i/>
                <w:sz w:val="24"/>
                <w:szCs w:val="24"/>
                <w:lang w:eastAsia="lv-LV"/>
              </w:rPr>
              <w:t>euro</w:t>
            </w:r>
            <w:r w:rsidR="00126776" w:rsidRPr="00305B5A">
              <w:rPr>
                <w:rFonts w:ascii="Times New Roman" w:hAnsi="Times New Roman"/>
                <w:sz w:val="24"/>
                <w:szCs w:val="24"/>
                <w:lang w:eastAsia="lv-LV"/>
              </w:rPr>
              <w:t xml:space="preserve"> iegādāt</w:t>
            </w:r>
            <w:r w:rsidR="00C21329">
              <w:rPr>
                <w:rFonts w:ascii="Times New Roman" w:hAnsi="Times New Roman"/>
                <w:sz w:val="24"/>
                <w:szCs w:val="24"/>
                <w:lang w:eastAsia="lv-LV"/>
              </w:rPr>
              <w:t>s</w:t>
            </w:r>
            <w:r w:rsidR="0019337C">
              <w:rPr>
                <w:rFonts w:ascii="Times New Roman" w:hAnsi="Times New Roman"/>
                <w:sz w:val="24"/>
                <w:szCs w:val="24"/>
                <w:lang w:eastAsia="lv-LV"/>
              </w:rPr>
              <w:t xml:space="preserve"> blenderis</w:t>
            </w:r>
            <w:r w:rsidR="00DF3DF5">
              <w:rPr>
                <w:rFonts w:ascii="Times New Roman" w:hAnsi="Times New Roman"/>
                <w:sz w:val="24"/>
                <w:szCs w:val="24"/>
                <w:lang w:eastAsia="lv-LV"/>
              </w:rPr>
              <w:t>, veļas mazgājamā mašīna, funkcionālās gultas.Veikti kanalizācijas posma un kontrolaku atjaunošanas darbi no notekūdeņu attīrīšanas iekārtām līdz novadīšanas vietai;</w:t>
            </w:r>
          </w:p>
          <w:p w14:paraId="6CC11D6E" w14:textId="06117246" w:rsidR="0019337C" w:rsidRDefault="0019337C" w:rsidP="00892D41">
            <w:pPr>
              <w:ind w:left="567"/>
              <w:jc w:val="both"/>
              <w:rPr>
                <w:rFonts w:ascii="Times New Roman" w:hAnsi="Times New Roman"/>
                <w:sz w:val="24"/>
                <w:szCs w:val="24"/>
                <w:lang w:eastAsia="lv-LV"/>
              </w:rPr>
            </w:pPr>
            <w:r>
              <w:rPr>
                <w:rFonts w:ascii="Times New Roman" w:hAnsi="Times New Roman"/>
                <w:sz w:val="24"/>
                <w:szCs w:val="24"/>
                <w:lang w:eastAsia="lv-LV"/>
              </w:rPr>
              <w:lastRenderedPageBreak/>
              <w:t xml:space="preserve">filiālei “Mēmele” par </w:t>
            </w:r>
            <w:r w:rsidR="00DF3DF5">
              <w:rPr>
                <w:rFonts w:ascii="Times New Roman" w:hAnsi="Times New Roman"/>
                <w:sz w:val="24"/>
                <w:szCs w:val="24"/>
                <w:lang w:eastAsia="lv-LV"/>
              </w:rPr>
              <w:t>18 779,02</w:t>
            </w:r>
            <w:r>
              <w:rPr>
                <w:rFonts w:ascii="Times New Roman" w:hAnsi="Times New Roman"/>
                <w:sz w:val="24"/>
                <w:szCs w:val="24"/>
                <w:lang w:eastAsia="lv-LV"/>
              </w:rPr>
              <w:t xml:space="preserve"> euro iegādāts datu termināls ar barošanas bloku, m</w:t>
            </w:r>
            <w:r w:rsidR="00DF3DF5">
              <w:rPr>
                <w:rFonts w:ascii="Times New Roman" w:hAnsi="Times New Roman"/>
                <w:sz w:val="24"/>
                <w:szCs w:val="24"/>
                <w:lang w:eastAsia="lv-LV"/>
              </w:rPr>
              <w:t>obilais pacēlājs,kondicionieris, ledusskapis, dārzeņu rīve, veļas mazgājamā mašīna;</w:t>
            </w:r>
          </w:p>
          <w:p w14:paraId="1EA38551" w14:textId="202F9628" w:rsidR="0019337C" w:rsidRDefault="0019337C"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“Kalupe”par </w:t>
            </w:r>
            <w:r w:rsidR="00DF3DF5">
              <w:rPr>
                <w:rFonts w:ascii="Times New Roman" w:hAnsi="Times New Roman"/>
                <w:sz w:val="24"/>
                <w:szCs w:val="24"/>
                <w:lang w:eastAsia="lv-LV"/>
              </w:rPr>
              <w:t>3 200,45</w:t>
            </w:r>
            <w:r>
              <w:rPr>
                <w:rFonts w:ascii="Times New Roman" w:hAnsi="Times New Roman"/>
                <w:sz w:val="24"/>
                <w:szCs w:val="24"/>
                <w:lang w:eastAsia="lv-LV"/>
              </w:rPr>
              <w:t xml:space="preserve"> euro iegādāts </w:t>
            </w:r>
            <w:r w:rsidR="00DF3DF5">
              <w:rPr>
                <w:rFonts w:ascii="Times New Roman" w:hAnsi="Times New Roman"/>
                <w:sz w:val="24"/>
                <w:szCs w:val="24"/>
                <w:lang w:eastAsia="lv-LV"/>
              </w:rPr>
              <w:t>kondicionieris, ledusskapis, rokas blenderis;</w:t>
            </w:r>
          </w:p>
          <w:p w14:paraId="14780E64" w14:textId="2F49B32A" w:rsidR="0019337C" w:rsidRDefault="0019337C" w:rsidP="00892D41">
            <w:pPr>
              <w:ind w:left="567"/>
              <w:jc w:val="both"/>
              <w:rPr>
                <w:rFonts w:ascii="Times New Roman" w:hAnsi="Times New Roman"/>
                <w:sz w:val="24"/>
                <w:szCs w:val="24"/>
                <w:lang w:eastAsia="lv-LV"/>
              </w:rPr>
            </w:pPr>
            <w:r>
              <w:rPr>
                <w:rFonts w:ascii="Times New Roman" w:hAnsi="Times New Roman"/>
                <w:sz w:val="24"/>
                <w:szCs w:val="24"/>
                <w:lang w:eastAsia="lv-LV"/>
              </w:rPr>
              <w:t xml:space="preserve">filiālei “Kalkūni” par </w:t>
            </w:r>
            <w:r w:rsidR="00DF3DF5">
              <w:rPr>
                <w:rFonts w:ascii="Times New Roman" w:hAnsi="Times New Roman"/>
                <w:sz w:val="24"/>
                <w:szCs w:val="24"/>
                <w:lang w:eastAsia="lv-LV"/>
              </w:rPr>
              <w:t>49 636,62</w:t>
            </w:r>
            <w:r>
              <w:rPr>
                <w:rFonts w:ascii="Times New Roman" w:hAnsi="Times New Roman"/>
                <w:sz w:val="24"/>
                <w:szCs w:val="24"/>
                <w:lang w:eastAsia="lv-LV"/>
              </w:rPr>
              <w:t xml:space="preserve"> euro iegādāts mik</w:t>
            </w:r>
            <w:r w:rsidR="00DF3DF5">
              <w:rPr>
                <w:rFonts w:ascii="Times New Roman" w:hAnsi="Times New Roman"/>
                <w:sz w:val="24"/>
                <w:szCs w:val="24"/>
                <w:lang w:eastAsia="lv-LV"/>
              </w:rPr>
              <w:t>roautobuss, funkcionā</w:t>
            </w:r>
            <w:r w:rsidR="00203D2D">
              <w:rPr>
                <w:rFonts w:ascii="Times New Roman" w:hAnsi="Times New Roman"/>
                <w:sz w:val="24"/>
                <w:szCs w:val="24"/>
                <w:lang w:eastAsia="lv-LV"/>
              </w:rPr>
              <w:t>lās gultas, ledusskapis;</w:t>
            </w:r>
          </w:p>
          <w:p w14:paraId="396B1E29" w14:textId="64123F33" w:rsidR="00203D2D" w:rsidRPr="00305B5A" w:rsidRDefault="00203D2D" w:rsidP="00892D41">
            <w:pPr>
              <w:ind w:left="567"/>
              <w:jc w:val="both"/>
              <w:rPr>
                <w:rFonts w:ascii="Times New Roman" w:hAnsi="Times New Roman"/>
                <w:sz w:val="24"/>
                <w:szCs w:val="24"/>
                <w:lang w:eastAsia="lv-LV"/>
              </w:rPr>
            </w:pPr>
            <w:r>
              <w:rPr>
                <w:rFonts w:ascii="Times New Roman" w:hAnsi="Times New Roman"/>
                <w:sz w:val="24"/>
                <w:szCs w:val="24"/>
                <w:lang w:eastAsia="lv-LV"/>
              </w:rPr>
              <w:t>filiālei “Krastiņi” par 13 364,45 euro iegādāts virtuves iekārta, veļas mazgājamā mašīna, indukcijas plīts.</w:t>
            </w:r>
          </w:p>
          <w:p w14:paraId="2BBD59FA" w14:textId="1E42AA79" w:rsidR="00D23D1E" w:rsidRDefault="00305B5A" w:rsidP="003A4D69">
            <w:pPr>
              <w:ind w:left="567"/>
              <w:jc w:val="both"/>
              <w:rPr>
                <w:rFonts w:ascii="Times New Roman" w:hAnsi="Times New Roman" w:cs="Times New Roman"/>
                <w:sz w:val="24"/>
                <w:szCs w:val="24"/>
              </w:rPr>
            </w:pPr>
            <w:r w:rsidRPr="00305B5A">
              <w:rPr>
                <w:rFonts w:ascii="Times New Roman" w:hAnsi="Times New Roman" w:cs="Times New Roman"/>
                <w:sz w:val="24"/>
                <w:szCs w:val="24"/>
              </w:rPr>
              <w:t>.</w:t>
            </w:r>
            <w:r w:rsidR="00BB4F8E" w:rsidRPr="00305B5A">
              <w:rPr>
                <w:rFonts w:ascii="Times New Roman" w:hAnsi="Times New Roman" w:cs="Times New Roman"/>
                <w:sz w:val="24"/>
                <w:szCs w:val="24"/>
              </w:rPr>
              <w:t xml:space="preserve"> </w:t>
            </w:r>
          </w:p>
          <w:p w14:paraId="7053678B" w14:textId="45D0D90C" w:rsidR="00D5361C" w:rsidRPr="00782B6A"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rPr>
          <w:gridAfter w:val="1"/>
          <w:wAfter w:w="13" w:type="dxa"/>
        </w:trPr>
        <w:tc>
          <w:tcPr>
            <w:tcW w:w="7236" w:type="dxa"/>
          </w:tcPr>
          <w:p w14:paraId="239FA8E6" w14:textId="5D70E4CF"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6530F84D" w:rsidR="00973B19" w:rsidRPr="00E8273F" w:rsidRDefault="00E8273F" w:rsidP="003E2E86">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FD38" w14:textId="3D7E215F" w:rsidR="00704714" w:rsidRPr="00B01BE2" w:rsidRDefault="00E8273F" w:rsidP="00704714">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sidR="00C92A3C">
              <w:rPr>
                <w:rFonts w:ascii="Times New Roman" w:hAnsi="Times New Roman"/>
                <w:sz w:val="24"/>
                <w:szCs w:val="24"/>
                <w:lang w:eastAsia="lv-LV"/>
              </w:rPr>
              <w:t>“</w:t>
            </w:r>
            <w:r w:rsidRPr="00ED3A39">
              <w:rPr>
                <w:rFonts w:ascii="Times New Roman" w:hAnsi="Times New Roman"/>
                <w:sz w:val="24"/>
                <w:szCs w:val="24"/>
                <w:lang w:eastAsia="lv-LV"/>
              </w:rPr>
              <w:t>Latgale</w:t>
            </w:r>
            <w:r w:rsidR="00C92A3C" w:rsidRPr="00B01BE2">
              <w:rPr>
                <w:rFonts w:ascii="Times New Roman" w:hAnsi="Times New Roman"/>
                <w:sz w:val="24"/>
                <w:szCs w:val="24"/>
                <w:lang w:eastAsia="lv-LV"/>
              </w:rPr>
              <w:t>”</w:t>
            </w:r>
            <w:r w:rsidRPr="00B01BE2">
              <w:rPr>
                <w:rFonts w:ascii="Times New Roman" w:hAnsi="Times New Roman"/>
                <w:sz w:val="24"/>
                <w:szCs w:val="24"/>
                <w:lang w:eastAsia="lv-LV"/>
              </w:rPr>
              <w:t xml:space="preserve"> i</w:t>
            </w:r>
            <w:r w:rsidR="00704714" w:rsidRPr="00B01BE2">
              <w:rPr>
                <w:rFonts w:ascii="Times New Roman" w:hAnsi="Times New Roman"/>
                <w:sz w:val="24"/>
                <w:szCs w:val="24"/>
                <w:lang w:eastAsia="lv-LV"/>
              </w:rPr>
              <w:t>zdevumu izpilde 20</w:t>
            </w:r>
            <w:r w:rsidR="00AA4C6C" w:rsidRPr="00B01BE2">
              <w:rPr>
                <w:rFonts w:ascii="Times New Roman" w:hAnsi="Times New Roman"/>
                <w:sz w:val="24"/>
                <w:szCs w:val="24"/>
                <w:lang w:eastAsia="lv-LV"/>
              </w:rPr>
              <w:t>2</w:t>
            </w:r>
            <w:r w:rsidR="0023186A">
              <w:rPr>
                <w:rFonts w:ascii="Times New Roman" w:hAnsi="Times New Roman"/>
                <w:sz w:val="24"/>
                <w:szCs w:val="24"/>
                <w:lang w:eastAsia="lv-LV"/>
              </w:rPr>
              <w:t>5</w:t>
            </w:r>
            <w:r w:rsidR="00704714" w:rsidRPr="00B01BE2">
              <w:rPr>
                <w:rFonts w:ascii="Times New Roman" w:hAnsi="Times New Roman"/>
                <w:sz w:val="24"/>
                <w:szCs w:val="24"/>
                <w:lang w:eastAsia="lv-LV"/>
              </w:rPr>
              <w:t xml:space="preserve">. gada </w:t>
            </w:r>
            <w:r w:rsidR="00367048">
              <w:rPr>
                <w:rFonts w:ascii="Times New Roman" w:hAnsi="Times New Roman"/>
                <w:sz w:val="24"/>
                <w:szCs w:val="24"/>
                <w:lang w:eastAsia="lv-LV"/>
              </w:rPr>
              <w:t>9</w:t>
            </w:r>
            <w:r w:rsidR="00704714" w:rsidRPr="00B01BE2">
              <w:rPr>
                <w:rFonts w:ascii="Times New Roman" w:hAnsi="Times New Roman"/>
                <w:sz w:val="24"/>
                <w:szCs w:val="24"/>
                <w:lang w:eastAsia="lv-LV"/>
              </w:rPr>
              <w:t xml:space="preserve"> mēnešos ir </w:t>
            </w:r>
            <w:r w:rsidR="008B3B20">
              <w:rPr>
                <w:rFonts w:ascii="Times New Roman" w:hAnsi="Times New Roman"/>
                <w:bCs/>
                <w:sz w:val="24"/>
                <w:szCs w:val="24"/>
                <w:lang w:eastAsia="lv-LV"/>
              </w:rPr>
              <w:t>11 208 762</w:t>
            </w:r>
            <w:r w:rsidR="0013797E" w:rsidRPr="00B01BE2">
              <w:rPr>
                <w:rFonts w:ascii="Times New Roman" w:hAnsi="Times New Roman"/>
                <w:bCs/>
                <w:sz w:val="24"/>
                <w:szCs w:val="24"/>
                <w:lang w:eastAsia="lv-LV"/>
              </w:rPr>
              <w:t xml:space="preserve"> </w:t>
            </w:r>
            <w:r w:rsidR="0013797E" w:rsidRPr="00B01BE2">
              <w:rPr>
                <w:rFonts w:ascii="Times New Roman" w:hAnsi="Times New Roman"/>
                <w:sz w:val="24"/>
                <w:szCs w:val="24"/>
                <w:lang w:eastAsia="lv-LV"/>
              </w:rPr>
              <w:t xml:space="preserve"> </w:t>
            </w:r>
            <w:r w:rsidR="00026134" w:rsidRPr="00B01BE2">
              <w:rPr>
                <w:rFonts w:ascii="Times New Roman" w:hAnsi="Times New Roman"/>
                <w:i/>
                <w:sz w:val="24"/>
                <w:szCs w:val="24"/>
                <w:lang w:eastAsia="lv-LV"/>
              </w:rPr>
              <w:t>euro</w:t>
            </w:r>
            <w:r w:rsidR="00704714" w:rsidRPr="00B01BE2">
              <w:rPr>
                <w:rFonts w:ascii="Times New Roman" w:hAnsi="Times New Roman"/>
                <w:sz w:val="24"/>
                <w:szCs w:val="24"/>
                <w:lang w:eastAsia="lv-LV"/>
              </w:rPr>
              <w:t xml:space="preserve"> un, salīdzinot ar </w:t>
            </w:r>
            <w:r w:rsidRPr="00B01BE2">
              <w:rPr>
                <w:rFonts w:ascii="Times New Roman" w:hAnsi="Times New Roman"/>
                <w:sz w:val="24"/>
                <w:szCs w:val="24"/>
                <w:lang w:eastAsia="lv-LV"/>
              </w:rPr>
              <w:t>iepriekšējā gada atbilstošā perioda</w:t>
            </w:r>
            <w:r w:rsidR="00704714" w:rsidRPr="00B01BE2">
              <w:rPr>
                <w:rFonts w:ascii="Times New Roman" w:hAnsi="Times New Roman"/>
                <w:sz w:val="24"/>
                <w:szCs w:val="24"/>
                <w:lang w:eastAsia="lv-LV"/>
              </w:rPr>
              <w:t xml:space="preserve"> izpildi</w:t>
            </w:r>
            <w:r w:rsidR="00C75BB6" w:rsidRPr="00B01BE2">
              <w:rPr>
                <w:rFonts w:ascii="Times New Roman" w:hAnsi="Times New Roman"/>
                <w:sz w:val="24"/>
                <w:szCs w:val="24"/>
                <w:lang w:eastAsia="lv-LV"/>
              </w:rPr>
              <w:t>,</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 xml:space="preserve">finansējums ir </w:t>
            </w:r>
            <w:r w:rsidR="00C841CB">
              <w:rPr>
                <w:rFonts w:ascii="Times New Roman" w:hAnsi="Times New Roman"/>
                <w:sz w:val="24"/>
                <w:szCs w:val="24"/>
                <w:lang w:eastAsia="lv-LV"/>
              </w:rPr>
              <w:t>paliel</w:t>
            </w:r>
            <w:r w:rsidR="00F84F7A" w:rsidRPr="00B01BE2">
              <w:rPr>
                <w:rFonts w:ascii="Times New Roman" w:hAnsi="Times New Roman"/>
                <w:sz w:val="24"/>
                <w:szCs w:val="24"/>
                <w:lang w:eastAsia="lv-LV"/>
              </w:rPr>
              <w:t>i</w:t>
            </w:r>
            <w:r w:rsidR="003C25F5" w:rsidRPr="00B01BE2">
              <w:rPr>
                <w:rFonts w:ascii="Times New Roman" w:hAnsi="Times New Roman"/>
                <w:sz w:val="24"/>
                <w:szCs w:val="24"/>
                <w:lang w:eastAsia="lv-LV"/>
              </w:rPr>
              <w:t>nājies</w:t>
            </w:r>
            <w:r w:rsidR="00704714" w:rsidRPr="00B01BE2">
              <w:rPr>
                <w:rFonts w:ascii="Times New Roman" w:hAnsi="Times New Roman"/>
                <w:sz w:val="24"/>
                <w:szCs w:val="24"/>
                <w:lang w:eastAsia="lv-LV"/>
              </w:rPr>
              <w:t xml:space="preserve"> </w:t>
            </w:r>
            <w:r w:rsidR="00C7316A" w:rsidRPr="00B01BE2">
              <w:rPr>
                <w:rFonts w:ascii="Times New Roman" w:hAnsi="Times New Roman"/>
                <w:sz w:val="24"/>
                <w:szCs w:val="24"/>
                <w:lang w:eastAsia="lv-LV"/>
              </w:rPr>
              <w:t>par</w:t>
            </w:r>
            <w:r w:rsidR="00704714" w:rsidRPr="00B01BE2">
              <w:rPr>
                <w:rFonts w:ascii="Times New Roman" w:hAnsi="Times New Roman"/>
                <w:sz w:val="24"/>
                <w:szCs w:val="24"/>
                <w:lang w:eastAsia="lv-LV"/>
              </w:rPr>
              <w:t xml:space="preserve"> </w:t>
            </w:r>
            <w:r w:rsidR="008B3B20">
              <w:rPr>
                <w:rFonts w:ascii="Times New Roman" w:hAnsi="Times New Roman"/>
                <w:sz w:val="24"/>
                <w:szCs w:val="24"/>
                <w:lang w:eastAsia="lv-LV"/>
              </w:rPr>
              <w:t>1 061 803</w:t>
            </w:r>
            <w:r w:rsidR="00704714" w:rsidRPr="001F7F97">
              <w:rPr>
                <w:rFonts w:ascii="Times New Roman" w:hAnsi="Times New Roman"/>
                <w:sz w:val="24"/>
                <w:szCs w:val="24"/>
                <w:lang w:eastAsia="lv-LV"/>
              </w:rPr>
              <w:t xml:space="preserve"> </w:t>
            </w:r>
            <w:r w:rsidR="00026134" w:rsidRPr="001F7F97">
              <w:rPr>
                <w:rFonts w:ascii="Times New Roman" w:hAnsi="Times New Roman"/>
                <w:i/>
                <w:sz w:val="24"/>
                <w:szCs w:val="24"/>
                <w:lang w:eastAsia="lv-LV"/>
              </w:rPr>
              <w:t>euro</w:t>
            </w:r>
            <w:r w:rsidR="00704714" w:rsidRPr="001F7F97">
              <w:rPr>
                <w:rFonts w:ascii="Times New Roman" w:hAnsi="Times New Roman"/>
                <w:sz w:val="24"/>
                <w:szCs w:val="24"/>
                <w:lang w:eastAsia="lv-LV"/>
              </w:rPr>
              <w:t xml:space="preserve"> vai </w:t>
            </w:r>
            <w:r w:rsidR="008B3B20">
              <w:rPr>
                <w:rFonts w:ascii="Times New Roman" w:hAnsi="Times New Roman"/>
                <w:sz w:val="24"/>
                <w:szCs w:val="24"/>
                <w:lang w:eastAsia="lv-LV"/>
              </w:rPr>
              <w:t>10,46</w:t>
            </w:r>
            <w:r w:rsidR="00704714" w:rsidRPr="001F7F97">
              <w:rPr>
                <w:rFonts w:ascii="Times New Roman" w:hAnsi="Times New Roman"/>
                <w:sz w:val="24"/>
                <w:szCs w:val="24"/>
                <w:lang w:eastAsia="lv-LV"/>
              </w:rPr>
              <w:t xml:space="preserve"> %.</w:t>
            </w:r>
          </w:p>
          <w:p w14:paraId="3D0414DA" w14:textId="77777777" w:rsidR="00E8273F" w:rsidRPr="00B01BE2" w:rsidRDefault="00E8273F" w:rsidP="00704714">
            <w:pPr>
              <w:widowControl w:val="0"/>
              <w:jc w:val="both"/>
              <w:rPr>
                <w:rFonts w:ascii="Times New Roman" w:hAnsi="Times New Roman"/>
                <w:sz w:val="24"/>
                <w:szCs w:val="24"/>
                <w:lang w:eastAsia="lv-LV"/>
              </w:rPr>
            </w:pPr>
          </w:p>
          <w:p w14:paraId="71CF466B" w14:textId="5B22D5A3" w:rsidR="00FD0FA6" w:rsidRPr="00B01BE2" w:rsidRDefault="00FD0FA6" w:rsidP="00FD0FA6">
            <w:pPr>
              <w:widowControl w:val="0"/>
              <w:jc w:val="both"/>
              <w:rPr>
                <w:rFonts w:ascii="Times New Roman" w:hAnsi="Times New Roman"/>
                <w:i/>
                <w:iCs/>
                <w:sz w:val="24"/>
                <w:szCs w:val="24"/>
              </w:rPr>
            </w:pPr>
            <w:r w:rsidRPr="00B01BE2">
              <w:rPr>
                <w:rFonts w:ascii="Times New Roman" w:hAnsi="Times New Roman"/>
                <w:i/>
                <w:iCs/>
                <w:sz w:val="24"/>
                <w:szCs w:val="24"/>
              </w:rPr>
              <w:t xml:space="preserve">Izdevumu </w:t>
            </w:r>
            <w:r w:rsidR="005558C3">
              <w:rPr>
                <w:rFonts w:ascii="Times New Roman" w:hAnsi="Times New Roman"/>
                <w:i/>
                <w:iCs/>
                <w:sz w:val="24"/>
                <w:szCs w:val="24"/>
              </w:rPr>
              <w:t>palielinā</w:t>
            </w:r>
            <w:r w:rsidR="002A5932" w:rsidRPr="00B01BE2">
              <w:rPr>
                <w:rFonts w:ascii="Times New Roman" w:hAnsi="Times New Roman"/>
                <w:i/>
                <w:iCs/>
                <w:sz w:val="24"/>
                <w:szCs w:val="24"/>
              </w:rPr>
              <w:t>juma</w:t>
            </w:r>
            <w:r w:rsidRPr="00B01BE2">
              <w:rPr>
                <w:rFonts w:ascii="Times New Roman" w:hAnsi="Times New Roman"/>
                <w:i/>
                <w:iCs/>
                <w:sz w:val="24"/>
                <w:szCs w:val="24"/>
              </w:rPr>
              <w:t xml:space="preserve"> galvenie ietekmējošie faktori:</w:t>
            </w:r>
          </w:p>
          <w:p w14:paraId="3C107D55" w14:textId="06FA62CD" w:rsidR="005558C3" w:rsidRPr="001F7F97" w:rsidRDefault="00FD0FA6" w:rsidP="009E5ACB">
            <w:pPr>
              <w:pStyle w:val="ListParagraph"/>
              <w:numPr>
                <w:ilvl w:val="0"/>
                <w:numId w:val="45"/>
              </w:numPr>
              <w:rPr>
                <w:rFonts w:ascii="Times New Roman" w:eastAsia="Times New Roman" w:hAnsi="Times New Roman" w:cs="Times New Roman"/>
              </w:rPr>
            </w:pPr>
            <w:r w:rsidRPr="001F7F97">
              <w:rPr>
                <w:rFonts w:ascii="Times New Roman" w:hAnsi="Times New Roman"/>
                <w:sz w:val="24"/>
                <w:szCs w:val="24"/>
                <w:lang w:eastAsia="lv-LV"/>
              </w:rPr>
              <w:t>atlīdzības izdevum</w:t>
            </w:r>
            <w:r w:rsidR="00C7316A" w:rsidRPr="001F7F97">
              <w:rPr>
                <w:rFonts w:ascii="Times New Roman" w:hAnsi="Times New Roman"/>
                <w:sz w:val="24"/>
                <w:szCs w:val="24"/>
                <w:lang w:eastAsia="lv-LV"/>
              </w:rPr>
              <w:t>i ir</w:t>
            </w:r>
            <w:r w:rsidRPr="001F7F97">
              <w:rPr>
                <w:rFonts w:ascii="Times New Roman" w:hAnsi="Times New Roman"/>
                <w:sz w:val="24"/>
                <w:szCs w:val="24"/>
                <w:lang w:eastAsia="lv-LV"/>
              </w:rPr>
              <w:t xml:space="preserve"> </w:t>
            </w:r>
            <w:r w:rsidR="00C841CB" w:rsidRPr="001F7F97">
              <w:rPr>
                <w:rFonts w:ascii="Times New Roman" w:hAnsi="Times New Roman"/>
                <w:sz w:val="24"/>
                <w:szCs w:val="24"/>
                <w:lang w:eastAsia="lv-LV"/>
              </w:rPr>
              <w:t>paliel</w:t>
            </w:r>
            <w:r w:rsidR="00771923" w:rsidRPr="001F7F97">
              <w:rPr>
                <w:rFonts w:ascii="Times New Roman" w:hAnsi="Times New Roman"/>
                <w:sz w:val="24"/>
                <w:szCs w:val="24"/>
                <w:lang w:eastAsia="lv-LV"/>
              </w:rPr>
              <w:t>inājušie</w:t>
            </w:r>
            <w:r w:rsidR="00C7316A" w:rsidRPr="001F7F97">
              <w:rPr>
                <w:rFonts w:ascii="Times New Roman" w:hAnsi="Times New Roman"/>
                <w:sz w:val="24"/>
                <w:szCs w:val="24"/>
                <w:lang w:eastAsia="lv-LV"/>
              </w:rPr>
              <w:t xml:space="preserve">s </w:t>
            </w:r>
            <w:r w:rsidRPr="001F7F97">
              <w:rPr>
                <w:rFonts w:ascii="Times New Roman" w:hAnsi="Times New Roman"/>
                <w:sz w:val="24"/>
                <w:szCs w:val="24"/>
                <w:lang w:eastAsia="lv-LV"/>
              </w:rPr>
              <w:t xml:space="preserve">par </w:t>
            </w:r>
            <w:r w:rsidR="008B3B20">
              <w:rPr>
                <w:rFonts w:ascii="Times New Roman" w:hAnsi="Times New Roman"/>
                <w:sz w:val="24"/>
                <w:szCs w:val="24"/>
                <w:lang w:eastAsia="lv-LV"/>
              </w:rPr>
              <w:t>604 026</w:t>
            </w:r>
            <w:r w:rsidR="00824BF8" w:rsidRPr="001F7F97">
              <w:rPr>
                <w:rFonts w:ascii="Times New Roman" w:hAnsi="Times New Roman"/>
                <w:sz w:val="24"/>
                <w:szCs w:val="24"/>
                <w:lang w:eastAsia="lv-LV"/>
              </w:rPr>
              <w:t xml:space="preserve"> </w:t>
            </w:r>
            <w:r w:rsidR="00026134" w:rsidRPr="001F7F97">
              <w:rPr>
                <w:rFonts w:ascii="Times New Roman" w:hAnsi="Times New Roman"/>
                <w:i/>
                <w:sz w:val="24"/>
                <w:szCs w:val="24"/>
                <w:lang w:eastAsia="lv-LV"/>
              </w:rPr>
              <w:t>euro</w:t>
            </w:r>
            <w:r w:rsidR="00C7316A" w:rsidRPr="001F7F97">
              <w:rPr>
                <w:rFonts w:ascii="Times New Roman" w:hAnsi="Times New Roman"/>
                <w:i/>
                <w:sz w:val="24"/>
                <w:szCs w:val="24"/>
                <w:lang w:eastAsia="lv-LV"/>
              </w:rPr>
              <w:t xml:space="preserve"> </w:t>
            </w:r>
            <w:r w:rsidR="00C7316A" w:rsidRPr="001F7F97">
              <w:rPr>
                <w:rFonts w:ascii="Times New Roman" w:hAnsi="Times New Roman"/>
                <w:sz w:val="24"/>
                <w:szCs w:val="24"/>
                <w:lang w:eastAsia="lv-LV"/>
              </w:rPr>
              <w:t xml:space="preserve">jeb </w:t>
            </w:r>
            <w:r w:rsidR="008B3B20">
              <w:rPr>
                <w:rFonts w:ascii="Times New Roman" w:hAnsi="Times New Roman"/>
                <w:sz w:val="24"/>
                <w:szCs w:val="24"/>
                <w:lang w:eastAsia="lv-LV"/>
              </w:rPr>
              <w:t>8,07</w:t>
            </w:r>
            <w:r w:rsidR="00AC7287" w:rsidRPr="001F7F97">
              <w:rPr>
                <w:rFonts w:ascii="Times New Roman" w:hAnsi="Times New Roman"/>
                <w:sz w:val="24"/>
                <w:szCs w:val="24"/>
                <w:lang w:eastAsia="lv-LV"/>
              </w:rPr>
              <w:t xml:space="preserve"> </w:t>
            </w:r>
            <w:r w:rsidR="00C7316A" w:rsidRPr="001F7F97">
              <w:rPr>
                <w:rFonts w:ascii="Times New Roman" w:hAnsi="Times New Roman"/>
                <w:sz w:val="24"/>
                <w:szCs w:val="24"/>
                <w:lang w:eastAsia="lv-LV"/>
              </w:rPr>
              <w:t>%</w:t>
            </w:r>
            <w:r w:rsidRPr="001F7F97">
              <w:rPr>
                <w:rFonts w:ascii="Times New Roman" w:hAnsi="Times New Roman"/>
                <w:sz w:val="24"/>
                <w:szCs w:val="24"/>
                <w:lang w:eastAsia="lv-LV"/>
              </w:rPr>
              <w:t>, saistībā</w:t>
            </w:r>
            <w:r w:rsidR="006971BE" w:rsidRPr="001F7F97">
              <w:rPr>
                <w:rFonts w:ascii="Times New Roman" w:hAnsi="Times New Roman"/>
                <w:sz w:val="24"/>
                <w:szCs w:val="24"/>
                <w:lang w:eastAsia="lv-LV"/>
              </w:rPr>
              <w:t xml:space="preserve"> ar</w:t>
            </w:r>
            <w:r w:rsidR="005B7DE7" w:rsidRPr="001F7F97">
              <w:rPr>
                <w:rFonts w:ascii="Times New Roman" w:hAnsi="Times New Roman"/>
                <w:sz w:val="24"/>
                <w:szCs w:val="24"/>
                <w:lang w:eastAsia="lv-LV"/>
              </w:rPr>
              <w:t xml:space="preserve"> to, ka</w:t>
            </w:r>
            <w:r w:rsidR="009E7EEB" w:rsidRPr="001F7F97">
              <w:t xml:space="preserve"> </w:t>
            </w:r>
            <w:r w:rsidR="005558C3" w:rsidRPr="001F7F97">
              <w:t xml:space="preserve">plānojās </w:t>
            </w:r>
            <w:r w:rsidR="005558C3" w:rsidRPr="001F7F97">
              <w:rPr>
                <w:rFonts w:ascii="Times New Roman" w:eastAsia="Times New Roman" w:hAnsi="Times New Roman" w:cs="Times New Roman"/>
              </w:rPr>
              <w:t>izdevumu palielinājums 202</w:t>
            </w:r>
            <w:r w:rsidR="00CB2DB9" w:rsidRPr="001F7F97">
              <w:rPr>
                <w:rFonts w:ascii="Times New Roman" w:eastAsia="Times New Roman" w:hAnsi="Times New Roman" w:cs="Times New Roman"/>
              </w:rPr>
              <w:t>5</w:t>
            </w:r>
            <w:r w:rsidR="005558C3" w:rsidRPr="001F7F97">
              <w:rPr>
                <w:rFonts w:ascii="Times New Roman" w:eastAsia="Times New Roman" w:hAnsi="Times New Roman" w:cs="Times New Roman"/>
              </w:rPr>
              <w:t xml:space="preserve">.gadam minimālās mēneša darba algas palielināšanai no </w:t>
            </w:r>
            <w:r w:rsidR="00CB2DB9" w:rsidRPr="001F7F97">
              <w:rPr>
                <w:rFonts w:ascii="Times New Roman" w:eastAsia="Times New Roman" w:hAnsi="Times New Roman" w:cs="Times New Roman"/>
              </w:rPr>
              <w:t>700</w:t>
            </w:r>
            <w:r w:rsidR="005558C3" w:rsidRPr="001F7F97">
              <w:rPr>
                <w:rFonts w:ascii="Times New Roman" w:eastAsia="Times New Roman" w:hAnsi="Times New Roman" w:cs="Times New Roman"/>
              </w:rPr>
              <w:t xml:space="preserve"> euro uz 7</w:t>
            </w:r>
            <w:r w:rsidR="00CB2DB9" w:rsidRPr="001F7F97">
              <w:rPr>
                <w:rFonts w:ascii="Times New Roman" w:eastAsia="Times New Roman" w:hAnsi="Times New Roman" w:cs="Times New Roman"/>
              </w:rPr>
              <w:t>40</w:t>
            </w:r>
            <w:r w:rsidR="005558C3" w:rsidRPr="001F7F97">
              <w:rPr>
                <w:rFonts w:ascii="Times New Roman" w:eastAsia="Times New Roman" w:hAnsi="Times New Roman" w:cs="Times New Roman"/>
              </w:rPr>
              <w:t xml:space="preserve"> euro atbilstoši Darba likuma pārejas noteikumu 26. un 27.punktam un prioritārā pasākuma 2024.-2026. gadam “Valsts tiešās pārvaldes iestādēs nodarbināto atalgojuma palielināšana” papildus piešķirts finansējums, </w:t>
            </w:r>
            <w:r w:rsidR="005558C3" w:rsidRPr="001F7F97">
              <w:rPr>
                <w:rFonts w:ascii="Times New Roman" w:eastAsia="Times New Roman" w:hAnsi="Times New Roman" w:cs="Times New Roman"/>
                <w:i/>
                <w:iCs/>
              </w:rPr>
              <w:t xml:space="preserve">lai nodrošinātu, ka darba samaksa VSAC  sasniedz vismaz </w:t>
            </w:r>
            <w:r w:rsidR="004F087A" w:rsidRPr="001F7F97">
              <w:rPr>
                <w:rFonts w:ascii="Times New Roman" w:eastAsia="Times New Roman" w:hAnsi="Times New Roman" w:cs="Times New Roman"/>
                <w:i/>
                <w:iCs/>
              </w:rPr>
              <w:t xml:space="preserve">70,19 </w:t>
            </w:r>
            <w:r w:rsidR="005558C3" w:rsidRPr="001F7F97">
              <w:rPr>
                <w:rFonts w:ascii="Times New Roman" w:eastAsia="Times New Roman" w:hAnsi="Times New Roman" w:cs="Times New Roman"/>
                <w:i/>
                <w:iCs/>
              </w:rPr>
              <w:t>% no mēnešalgu skalas viduspunkta atbilstoši 202</w:t>
            </w:r>
            <w:r w:rsidR="006564FD" w:rsidRPr="001F7F97">
              <w:rPr>
                <w:rFonts w:ascii="Times New Roman" w:eastAsia="Times New Roman" w:hAnsi="Times New Roman" w:cs="Times New Roman"/>
                <w:i/>
                <w:iCs/>
              </w:rPr>
              <w:t>5</w:t>
            </w:r>
            <w:r w:rsidR="005558C3" w:rsidRPr="001F7F97">
              <w:rPr>
                <w:rFonts w:ascii="Times New Roman" w:eastAsia="Times New Roman" w:hAnsi="Times New Roman" w:cs="Times New Roman"/>
                <w:i/>
                <w:iCs/>
              </w:rPr>
              <w:t>. gada bāzes mēnešalgai;</w:t>
            </w:r>
          </w:p>
          <w:p w14:paraId="23EB6CC8" w14:textId="53B3BE4E" w:rsidR="00BA1EA7" w:rsidRPr="00083461" w:rsidRDefault="00BA1EA7" w:rsidP="005558C3">
            <w:pPr>
              <w:jc w:val="both"/>
              <w:rPr>
                <w:rFonts w:ascii="Times New Roman" w:hAnsi="Times New Roman"/>
                <w:sz w:val="24"/>
                <w:szCs w:val="24"/>
                <w:highlight w:val="yellow"/>
                <w:lang w:eastAsia="lv-LV"/>
              </w:rPr>
            </w:pPr>
          </w:p>
          <w:p w14:paraId="31423009" w14:textId="35D9ABCD" w:rsidR="006971BE" w:rsidRPr="00542B12" w:rsidRDefault="00C75BB6" w:rsidP="00ED3A39">
            <w:pPr>
              <w:pStyle w:val="ListParagraph"/>
              <w:numPr>
                <w:ilvl w:val="0"/>
                <w:numId w:val="34"/>
              </w:numPr>
              <w:jc w:val="both"/>
              <w:rPr>
                <w:rFonts w:ascii="Times New Roman" w:hAnsi="Times New Roman"/>
                <w:sz w:val="24"/>
                <w:szCs w:val="24"/>
                <w:lang w:eastAsia="lv-LV"/>
              </w:rPr>
            </w:pPr>
            <w:r w:rsidRPr="00542B12">
              <w:rPr>
                <w:rFonts w:ascii="Times New Roman" w:hAnsi="Times New Roman"/>
                <w:sz w:val="24"/>
                <w:szCs w:val="24"/>
                <w:lang w:eastAsia="lv-LV"/>
              </w:rPr>
              <w:t>p</w:t>
            </w:r>
            <w:r w:rsidR="00FD0FA6" w:rsidRPr="00542B12">
              <w:rPr>
                <w:rFonts w:ascii="Times New Roman" w:hAnsi="Times New Roman"/>
                <w:sz w:val="24"/>
                <w:szCs w:val="24"/>
                <w:lang w:eastAsia="lv-LV"/>
              </w:rPr>
              <w:t>rec</w:t>
            </w:r>
            <w:r w:rsidR="00C7316A" w:rsidRPr="00542B12">
              <w:rPr>
                <w:rFonts w:ascii="Times New Roman" w:hAnsi="Times New Roman"/>
                <w:sz w:val="24"/>
                <w:szCs w:val="24"/>
                <w:lang w:eastAsia="lv-LV"/>
              </w:rPr>
              <w:t xml:space="preserve">es </w:t>
            </w:r>
            <w:r w:rsidR="00FD0FA6" w:rsidRPr="00542B12">
              <w:rPr>
                <w:rFonts w:ascii="Times New Roman" w:hAnsi="Times New Roman"/>
                <w:sz w:val="24"/>
                <w:szCs w:val="24"/>
                <w:lang w:eastAsia="lv-LV"/>
              </w:rPr>
              <w:t xml:space="preserve"> un pakalpojumi </w:t>
            </w:r>
            <w:r w:rsidR="00BB036D" w:rsidRPr="00542B12">
              <w:rPr>
                <w:rFonts w:ascii="Times New Roman" w:hAnsi="Times New Roman"/>
                <w:sz w:val="24"/>
                <w:szCs w:val="24"/>
                <w:lang w:eastAsia="lv-LV"/>
              </w:rPr>
              <w:t>palieli</w:t>
            </w:r>
            <w:r w:rsidR="005558C3" w:rsidRPr="00542B12">
              <w:rPr>
                <w:rFonts w:ascii="Times New Roman" w:hAnsi="Times New Roman"/>
                <w:sz w:val="24"/>
                <w:szCs w:val="24"/>
                <w:lang w:eastAsia="lv-LV"/>
              </w:rPr>
              <w:t>nā</w:t>
            </w:r>
            <w:r w:rsidR="00FD0FA6" w:rsidRPr="00542B12">
              <w:rPr>
                <w:rFonts w:ascii="Times New Roman" w:hAnsi="Times New Roman"/>
                <w:sz w:val="24"/>
                <w:szCs w:val="24"/>
                <w:lang w:eastAsia="lv-LV"/>
              </w:rPr>
              <w:t>ju</w:t>
            </w:r>
            <w:r w:rsidR="00C7316A" w:rsidRPr="00542B12">
              <w:rPr>
                <w:rFonts w:ascii="Times New Roman" w:hAnsi="Times New Roman"/>
                <w:sz w:val="24"/>
                <w:szCs w:val="24"/>
                <w:lang w:eastAsia="lv-LV"/>
              </w:rPr>
              <w:t>šies</w:t>
            </w:r>
            <w:r w:rsidR="00FD0FA6" w:rsidRPr="00542B12">
              <w:rPr>
                <w:rFonts w:ascii="Times New Roman" w:hAnsi="Times New Roman"/>
                <w:sz w:val="24"/>
                <w:szCs w:val="24"/>
                <w:lang w:eastAsia="lv-LV"/>
              </w:rPr>
              <w:t xml:space="preserve"> par </w:t>
            </w:r>
            <w:r w:rsidR="008B3B20">
              <w:rPr>
                <w:rFonts w:ascii="Times New Roman" w:hAnsi="Times New Roman"/>
                <w:sz w:val="24"/>
                <w:szCs w:val="24"/>
                <w:lang w:eastAsia="lv-LV"/>
              </w:rPr>
              <w:t>194 258</w:t>
            </w:r>
            <w:r w:rsidR="00FD0FA6" w:rsidRPr="00542B12">
              <w:rPr>
                <w:rFonts w:ascii="Times New Roman" w:hAnsi="Times New Roman"/>
                <w:sz w:val="24"/>
                <w:szCs w:val="24"/>
                <w:lang w:eastAsia="lv-LV"/>
              </w:rPr>
              <w:t xml:space="preserve"> </w:t>
            </w:r>
            <w:r w:rsidR="00026134" w:rsidRPr="00542B12">
              <w:rPr>
                <w:rFonts w:ascii="Times New Roman" w:hAnsi="Times New Roman"/>
                <w:i/>
                <w:sz w:val="24"/>
                <w:szCs w:val="24"/>
                <w:lang w:eastAsia="lv-LV"/>
              </w:rPr>
              <w:t>euro</w:t>
            </w:r>
            <w:r w:rsidR="00C7316A" w:rsidRPr="00542B12">
              <w:rPr>
                <w:rFonts w:ascii="Times New Roman" w:hAnsi="Times New Roman"/>
                <w:i/>
                <w:sz w:val="24"/>
                <w:szCs w:val="24"/>
                <w:lang w:eastAsia="lv-LV"/>
              </w:rPr>
              <w:t xml:space="preserve"> </w:t>
            </w:r>
            <w:r w:rsidR="00C7316A" w:rsidRPr="00542B12">
              <w:rPr>
                <w:rFonts w:ascii="Times New Roman" w:hAnsi="Times New Roman"/>
                <w:sz w:val="24"/>
                <w:szCs w:val="24"/>
                <w:lang w:eastAsia="lv-LV"/>
              </w:rPr>
              <w:t xml:space="preserve">jeb </w:t>
            </w:r>
            <w:r w:rsidR="008B3B20">
              <w:rPr>
                <w:rFonts w:ascii="Times New Roman" w:hAnsi="Times New Roman"/>
                <w:sz w:val="24"/>
                <w:szCs w:val="24"/>
                <w:lang w:eastAsia="lv-LV"/>
              </w:rPr>
              <w:t>9,05</w:t>
            </w:r>
            <w:r w:rsidR="00542B12" w:rsidRPr="00542B12">
              <w:rPr>
                <w:rFonts w:ascii="Times New Roman" w:hAnsi="Times New Roman"/>
                <w:sz w:val="24"/>
                <w:szCs w:val="24"/>
                <w:lang w:eastAsia="lv-LV"/>
              </w:rPr>
              <w:t xml:space="preserve"> </w:t>
            </w:r>
            <w:r w:rsidR="005558C3" w:rsidRPr="00542B12">
              <w:rPr>
                <w:rFonts w:ascii="Times New Roman" w:hAnsi="Times New Roman"/>
                <w:sz w:val="24"/>
                <w:szCs w:val="24"/>
                <w:lang w:eastAsia="lv-LV"/>
              </w:rPr>
              <w:t xml:space="preserve">% sakarā </w:t>
            </w:r>
            <w:r w:rsidR="006971BE" w:rsidRPr="00542B12">
              <w:rPr>
                <w:rFonts w:ascii="Times New Roman" w:hAnsi="Times New Roman"/>
                <w:sz w:val="24"/>
                <w:szCs w:val="24"/>
                <w:lang w:eastAsia="lv-LV"/>
              </w:rPr>
              <w:t xml:space="preserve">ar </w:t>
            </w:r>
            <w:r w:rsidR="00BB036D" w:rsidRPr="00542B12">
              <w:rPr>
                <w:rFonts w:ascii="Times New Roman" w:hAnsi="Times New Roman"/>
                <w:sz w:val="24"/>
                <w:szCs w:val="24"/>
                <w:lang w:eastAsia="lv-LV"/>
              </w:rPr>
              <w:t>komunālo pakalpojumu, medikamentu</w:t>
            </w:r>
            <w:r w:rsidR="009E7EEB" w:rsidRPr="00542B12">
              <w:rPr>
                <w:rFonts w:ascii="Times New Roman" w:hAnsi="Times New Roman"/>
                <w:sz w:val="24"/>
                <w:szCs w:val="24"/>
                <w:lang w:eastAsia="lv-LV"/>
              </w:rPr>
              <w:t xml:space="preserve"> iegā</w:t>
            </w:r>
            <w:r w:rsidR="005558C3" w:rsidRPr="00542B12">
              <w:rPr>
                <w:rFonts w:ascii="Times New Roman" w:hAnsi="Times New Roman"/>
                <w:sz w:val="24"/>
                <w:szCs w:val="24"/>
                <w:lang w:eastAsia="lv-LV"/>
              </w:rPr>
              <w:t xml:space="preserve">des cenu </w:t>
            </w:r>
            <w:r w:rsidR="00BB036D" w:rsidRPr="00542B12">
              <w:rPr>
                <w:rFonts w:ascii="Times New Roman" w:hAnsi="Times New Roman"/>
                <w:sz w:val="24"/>
                <w:szCs w:val="24"/>
                <w:lang w:eastAsia="lv-LV"/>
              </w:rPr>
              <w:lastRenderedPageBreak/>
              <w:t>palieli</w:t>
            </w:r>
            <w:r w:rsidR="005558C3" w:rsidRPr="00542B12">
              <w:rPr>
                <w:rFonts w:ascii="Times New Roman" w:hAnsi="Times New Roman"/>
                <w:sz w:val="24"/>
                <w:szCs w:val="24"/>
                <w:lang w:eastAsia="lv-LV"/>
              </w:rPr>
              <w:t>nājumu</w:t>
            </w:r>
            <w:r w:rsidR="008B3B20">
              <w:rPr>
                <w:rFonts w:ascii="Times New Roman" w:hAnsi="Times New Roman"/>
                <w:sz w:val="24"/>
                <w:szCs w:val="24"/>
                <w:lang w:eastAsia="lv-LV"/>
              </w:rPr>
              <w:t>, veiktajiem remontdarbiem infrastruktūras sakārtošanā</w:t>
            </w:r>
            <w:r w:rsidRPr="00542B12">
              <w:rPr>
                <w:rFonts w:ascii="Times New Roman" w:hAnsi="Times New Roman"/>
                <w:sz w:val="24"/>
                <w:szCs w:val="24"/>
                <w:lang w:eastAsia="lv-LV"/>
              </w:rPr>
              <w:t>;</w:t>
            </w:r>
          </w:p>
          <w:p w14:paraId="65590018" w14:textId="1273B910" w:rsidR="00C7316A" w:rsidRPr="00A46F6D" w:rsidRDefault="00FD0FA6" w:rsidP="00C7316A">
            <w:pPr>
              <w:pStyle w:val="ListParagraph"/>
              <w:widowControl w:val="0"/>
              <w:numPr>
                <w:ilvl w:val="0"/>
                <w:numId w:val="34"/>
              </w:numPr>
              <w:jc w:val="both"/>
              <w:rPr>
                <w:rFonts w:ascii="Times New Roman" w:hAnsi="Times New Roman"/>
                <w:bCs/>
                <w:sz w:val="24"/>
                <w:szCs w:val="24"/>
              </w:rPr>
            </w:pPr>
            <w:r w:rsidRPr="00A46F6D">
              <w:rPr>
                <w:rFonts w:ascii="Times New Roman" w:hAnsi="Times New Roman"/>
                <w:sz w:val="24"/>
                <w:szCs w:val="24"/>
                <w:lang w:eastAsia="lv-LV"/>
              </w:rPr>
              <w:t xml:space="preserve">kapitālie izdevumi </w:t>
            </w:r>
            <w:r w:rsidR="00542B12" w:rsidRPr="00A46F6D">
              <w:rPr>
                <w:rFonts w:ascii="Times New Roman" w:hAnsi="Times New Roman"/>
                <w:sz w:val="24"/>
                <w:szCs w:val="24"/>
                <w:lang w:eastAsia="lv-LV"/>
              </w:rPr>
              <w:t>palieli</w:t>
            </w:r>
            <w:r w:rsidR="00F80EE2" w:rsidRPr="00A46F6D">
              <w:rPr>
                <w:rFonts w:ascii="Times New Roman" w:hAnsi="Times New Roman"/>
                <w:sz w:val="24"/>
                <w:szCs w:val="24"/>
                <w:lang w:eastAsia="lv-LV"/>
              </w:rPr>
              <w:t>nāju</w:t>
            </w:r>
            <w:r w:rsidR="00C7316A" w:rsidRPr="00A46F6D">
              <w:rPr>
                <w:rFonts w:ascii="Times New Roman" w:hAnsi="Times New Roman"/>
                <w:sz w:val="24"/>
                <w:szCs w:val="24"/>
                <w:lang w:eastAsia="lv-LV"/>
              </w:rPr>
              <w:t>šies</w:t>
            </w:r>
            <w:r w:rsidRPr="00A46F6D">
              <w:rPr>
                <w:rFonts w:ascii="Times New Roman" w:hAnsi="Times New Roman"/>
                <w:sz w:val="24"/>
                <w:szCs w:val="24"/>
                <w:lang w:eastAsia="lv-LV"/>
              </w:rPr>
              <w:t xml:space="preserve"> par </w:t>
            </w:r>
            <w:r w:rsidR="008B3B20">
              <w:rPr>
                <w:rFonts w:ascii="Times New Roman" w:hAnsi="Times New Roman"/>
                <w:sz w:val="24"/>
                <w:szCs w:val="24"/>
                <w:lang w:eastAsia="lv-LV"/>
              </w:rPr>
              <w:t>205 054</w:t>
            </w:r>
            <w:r w:rsidRPr="00A46F6D">
              <w:rPr>
                <w:rFonts w:ascii="Times New Roman" w:hAnsi="Times New Roman"/>
                <w:sz w:val="24"/>
                <w:szCs w:val="24"/>
                <w:lang w:eastAsia="lv-LV"/>
              </w:rPr>
              <w:t xml:space="preserve"> </w:t>
            </w:r>
            <w:r w:rsidR="00026134" w:rsidRPr="00A46F6D">
              <w:rPr>
                <w:rFonts w:ascii="Times New Roman" w:hAnsi="Times New Roman"/>
                <w:i/>
                <w:sz w:val="24"/>
                <w:szCs w:val="24"/>
                <w:lang w:eastAsia="lv-LV"/>
              </w:rPr>
              <w:t>euro</w:t>
            </w:r>
            <w:r w:rsidR="00C7316A" w:rsidRPr="00A46F6D">
              <w:rPr>
                <w:rFonts w:ascii="Times New Roman" w:hAnsi="Times New Roman"/>
                <w:i/>
                <w:sz w:val="24"/>
                <w:szCs w:val="24"/>
                <w:lang w:eastAsia="lv-LV"/>
              </w:rPr>
              <w:t xml:space="preserve"> </w:t>
            </w:r>
            <w:r w:rsidR="00C7316A" w:rsidRPr="00A46F6D">
              <w:rPr>
                <w:rFonts w:ascii="Times New Roman" w:hAnsi="Times New Roman"/>
                <w:sz w:val="24"/>
                <w:szCs w:val="24"/>
                <w:lang w:eastAsia="lv-LV"/>
              </w:rPr>
              <w:t xml:space="preserve">jeb </w:t>
            </w:r>
            <w:r w:rsidR="008B3B20">
              <w:rPr>
                <w:rFonts w:ascii="Times New Roman" w:hAnsi="Times New Roman"/>
                <w:sz w:val="24"/>
                <w:szCs w:val="24"/>
                <w:lang w:eastAsia="lv-LV"/>
              </w:rPr>
              <w:t>145,63</w:t>
            </w:r>
            <w:r w:rsidR="00D5385D" w:rsidRPr="00A46F6D">
              <w:rPr>
                <w:rFonts w:ascii="Times New Roman" w:hAnsi="Times New Roman"/>
                <w:sz w:val="24"/>
                <w:szCs w:val="24"/>
                <w:lang w:eastAsia="lv-LV"/>
              </w:rPr>
              <w:t xml:space="preserve"> </w:t>
            </w:r>
            <w:r w:rsidR="00C7316A" w:rsidRPr="00A46F6D">
              <w:rPr>
                <w:rFonts w:ascii="Times New Roman" w:hAnsi="Times New Roman"/>
                <w:sz w:val="24"/>
                <w:szCs w:val="24"/>
                <w:lang w:eastAsia="lv-LV"/>
              </w:rPr>
              <w:t xml:space="preserve">%, saistībā ar </w:t>
            </w:r>
            <w:r w:rsidR="00542B12" w:rsidRPr="00A46F6D">
              <w:rPr>
                <w:rFonts w:ascii="Times New Roman" w:hAnsi="Times New Roman"/>
                <w:sz w:val="24"/>
                <w:szCs w:val="24"/>
                <w:lang w:eastAsia="lv-LV"/>
              </w:rPr>
              <w:t>lielāku</w:t>
            </w:r>
            <w:r w:rsidR="001534A1" w:rsidRPr="00A46F6D">
              <w:rPr>
                <w:rFonts w:ascii="Times New Roman" w:hAnsi="Times New Roman"/>
                <w:sz w:val="24"/>
                <w:szCs w:val="24"/>
                <w:lang w:eastAsia="lv-LV"/>
              </w:rPr>
              <w:t xml:space="preserve"> </w:t>
            </w:r>
            <w:r w:rsidR="008265CA" w:rsidRPr="00A46F6D">
              <w:rPr>
                <w:rFonts w:ascii="Times New Roman" w:hAnsi="Times New Roman"/>
                <w:sz w:val="24"/>
                <w:szCs w:val="24"/>
                <w:lang w:eastAsia="lv-LV"/>
              </w:rPr>
              <w:t xml:space="preserve"> kapitālo iegāžu</w:t>
            </w:r>
            <w:r w:rsidR="008B3B20">
              <w:rPr>
                <w:rFonts w:ascii="Times New Roman" w:hAnsi="Times New Roman"/>
                <w:sz w:val="24"/>
                <w:szCs w:val="24"/>
                <w:lang w:eastAsia="lv-LV"/>
              </w:rPr>
              <w:t xml:space="preserve"> apjomu pēc noslēgtiem līgumiem un veiktajiem darbiem kanalizācijas cauruļvadu un kontrolakas izbūvē filiālē “Litene”.</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44F77ADB"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046" w:type="dxa"/>
          </w:tcPr>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589F0369" w14:textId="79997F47" w:rsidR="00441A16" w:rsidRPr="00745C41" w:rsidRDefault="00C7316A" w:rsidP="00441A16">
            <w:pPr>
              <w:tabs>
                <w:tab w:val="left" w:pos="993"/>
              </w:tabs>
              <w:rPr>
                <w:rFonts w:ascii="Times New Roman" w:hAnsi="Times New Roman" w:cs="Times New Roman"/>
              </w:rPr>
            </w:pPr>
            <w:r w:rsidRPr="00745C41">
              <w:rPr>
                <w:rFonts w:ascii="Times New Roman" w:hAnsi="Times New Roman" w:cs="Times New Roman"/>
              </w:rPr>
              <w:t>20</w:t>
            </w:r>
            <w:r w:rsidR="009952FD" w:rsidRPr="00745C41">
              <w:rPr>
                <w:rFonts w:ascii="Times New Roman" w:hAnsi="Times New Roman" w:cs="Times New Roman"/>
              </w:rPr>
              <w:t>2</w:t>
            </w:r>
            <w:r w:rsidR="00BA69FD">
              <w:rPr>
                <w:rFonts w:ascii="Times New Roman" w:hAnsi="Times New Roman" w:cs="Times New Roman"/>
              </w:rPr>
              <w:t>5</w:t>
            </w:r>
            <w:r w:rsidRPr="00745C41">
              <w:rPr>
                <w:rFonts w:ascii="Times New Roman" w:hAnsi="Times New Roman" w:cs="Times New Roman"/>
              </w:rPr>
              <w:t xml:space="preserve">.gada </w:t>
            </w:r>
            <w:r w:rsidR="00FA48D3">
              <w:rPr>
                <w:rFonts w:ascii="Times New Roman" w:hAnsi="Times New Roman" w:cs="Times New Roman"/>
              </w:rPr>
              <w:t>9</w:t>
            </w:r>
            <w:r w:rsidRPr="00745C41">
              <w:rPr>
                <w:rFonts w:ascii="Times New Roman" w:hAnsi="Times New Roman" w:cs="Times New Roman"/>
              </w:rPr>
              <w:t xml:space="preserve"> mēnešu izdevumu plāns- </w:t>
            </w:r>
            <w:r w:rsidR="00F55C8A">
              <w:rPr>
                <w:rFonts w:ascii="Times New Roman" w:hAnsi="Times New Roman" w:cs="Times New Roman"/>
              </w:rPr>
              <w:t>11 032 519</w:t>
            </w:r>
            <w:r w:rsidRPr="00745C41">
              <w:rPr>
                <w:rFonts w:ascii="Times New Roman" w:hAnsi="Times New Roman" w:cs="Times New Roman"/>
              </w:rPr>
              <w:t xml:space="preserve"> </w:t>
            </w:r>
            <w:r w:rsidRPr="00745C41">
              <w:rPr>
                <w:rFonts w:ascii="Times New Roman" w:hAnsi="Times New Roman" w:cs="Times New Roman"/>
                <w:i/>
              </w:rPr>
              <w:t>euro</w:t>
            </w:r>
            <w:r w:rsidR="00196B73" w:rsidRPr="00745C41">
              <w:rPr>
                <w:rFonts w:ascii="Times New Roman" w:hAnsi="Times New Roman" w:cs="Times New Roman"/>
              </w:rPr>
              <w:t xml:space="preserve"> (1000-</w:t>
            </w:r>
            <w:r w:rsidR="008265CA" w:rsidRPr="00745C41">
              <w:rPr>
                <w:rFonts w:ascii="Times New Roman" w:hAnsi="Times New Roman" w:cs="Times New Roman"/>
              </w:rPr>
              <w:t xml:space="preserve"> </w:t>
            </w:r>
            <w:r w:rsidR="00F55C8A">
              <w:rPr>
                <w:rFonts w:ascii="Times New Roman" w:hAnsi="Times New Roman" w:cs="Times New Roman"/>
              </w:rPr>
              <w:t>8 074 301</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2000-</w:t>
            </w:r>
            <w:r w:rsidR="00CC1C52" w:rsidRPr="00745C41">
              <w:rPr>
                <w:rFonts w:ascii="Times New Roman" w:hAnsi="Times New Roman" w:cs="Times New Roman"/>
              </w:rPr>
              <w:t xml:space="preserve"> </w:t>
            </w:r>
            <w:r w:rsidR="00F55C8A">
              <w:rPr>
                <w:rFonts w:ascii="Times New Roman" w:hAnsi="Times New Roman" w:cs="Times New Roman"/>
              </w:rPr>
              <w:t>2 134 062</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5000- </w:t>
            </w:r>
            <w:r w:rsidR="00F55C8A">
              <w:rPr>
                <w:rFonts w:ascii="Times New Roman" w:hAnsi="Times New Roman" w:cs="Times New Roman"/>
              </w:rPr>
              <w:t>387 020</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w:t>
            </w:r>
          </w:p>
          <w:p w14:paraId="133B061A" w14:textId="6002AA50" w:rsidR="00196B73" w:rsidRPr="00745C41" w:rsidRDefault="009952FD" w:rsidP="00441A16">
            <w:pPr>
              <w:tabs>
                <w:tab w:val="left" w:pos="993"/>
              </w:tabs>
              <w:rPr>
                <w:rFonts w:ascii="Times New Roman" w:hAnsi="Times New Roman" w:cs="Times New Roman"/>
              </w:rPr>
            </w:pPr>
            <w:r w:rsidRPr="00745C41">
              <w:rPr>
                <w:rFonts w:ascii="Times New Roman" w:hAnsi="Times New Roman" w:cs="Times New Roman"/>
              </w:rPr>
              <w:t>202</w:t>
            </w:r>
            <w:r w:rsidR="00BA69FD">
              <w:rPr>
                <w:rFonts w:ascii="Times New Roman" w:hAnsi="Times New Roman" w:cs="Times New Roman"/>
              </w:rPr>
              <w:t>5</w:t>
            </w:r>
            <w:r w:rsidR="00196B73" w:rsidRPr="00745C41">
              <w:rPr>
                <w:rFonts w:ascii="Times New Roman" w:hAnsi="Times New Roman" w:cs="Times New Roman"/>
              </w:rPr>
              <w:t xml:space="preserve">.gada </w:t>
            </w:r>
            <w:r w:rsidR="00FA48D3">
              <w:rPr>
                <w:rFonts w:ascii="Times New Roman" w:hAnsi="Times New Roman" w:cs="Times New Roman"/>
              </w:rPr>
              <w:t>9</w:t>
            </w:r>
            <w:r w:rsidR="00196B73" w:rsidRPr="00745C41">
              <w:rPr>
                <w:rFonts w:ascii="Times New Roman" w:hAnsi="Times New Roman" w:cs="Times New Roman"/>
              </w:rPr>
              <w:t xml:space="preserve"> mēnešu izdevumu izpilde- </w:t>
            </w:r>
            <w:r w:rsidR="00F55C8A">
              <w:rPr>
                <w:rFonts w:ascii="Times New Roman" w:hAnsi="Times New Roman" w:cs="Times New Roman"/>
              </w:rPr>
              <w:t>11 208 761</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(1000-</w:t>
            </w:r>
            <w:r w:rsidR="00F55C8A">
              <w:rPr>
                <w:rFonts w:ascii="Times New Roman" w:hAnsi="Times New Roman" w:cs="Times New Roman"/>
              </w:rPr>
              <w:t>8 087 432</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2000-</w:t>
            </w:r>
            <w:r w:rsidR="0058387A">
              <w:rPr>
                <w:rFonts w:ascii="Times New Roman" w:hAnsi="Times New Roman" w:cs="Times New Roman"/>
              </w:rPr>
              <w:t xml:space="preserve"> </w:t>
            </w:r>
            <w:r w:rsidR="00F55C8A">
              <w:rPr>
                <w:rFonts w:ascii="Times New Roman" w:hAnsi="Times New Roman" w:cs="Times New Roman"/>
              </w:rPr>
              <w:t>2 340 203</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5000-</w:t>
            </w:r>
            <w:r w:rsidR="00BA69FD">
              <w:rPr>
                <w:rFonts w:ascii="Times New Roman" w:hAnsi="Times New Roman" w:cs="Times New Roman"/>
              </w:rPr>
              <w:t xml:space="preserve"> </w:t>
            </w:r>
            <w:r w:rsidR="00F55C8A">
              <w:rPr>
                <w:rFonts w:ascii="Times New Roman" w:hAnsi="Times New Roman" w:cs="Times New Roman"/>
              </w:rPr>
              <w:t>345 860</w:t>
            </w:r>
            <w:r w:rsidR="00196B73" w:rsidRPr="00745C41">
              <w:rPr>
                <w:rFonts w:ascii="Times New Roman" w:hAnsi="Times New Roman" w:cs="Times New Roman"/>
              </w:rPr>
              <w:t xml:space="preserve"> </w:t>
            </w:r>
            <w:r w:rsidR="00196B73" w:rsidRPr="00745C41">
              <w:rPr>
                <w:rFonts w:ascii="Times New Roman" w:hAnsi="Times New Roman" w:cs="Times New Roman"/>
                <w:i/>
              </w:rPr>
              <w:t>euro</w:t>
            </w:r>
            <w:r w:rsidR="00196B73" w:rsidRPr="00745C41">
              <w:rPr>
                <w:rFonts w:ascii="Times New Roman" w:hAnsi="Times New Roman" w:cs="Times New Roman"/>
              </w:rPr>
              <w:t xml:space="preserve">). </w:t>
            </w:r>
          </w:p>
          <w:p w14:paraId="21ED618C" w14:textId="74EEA2DD"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20</w:t>
            </w:r>
            <w:r w:rsidR="002E6A33" w:rsidRPr="00745C41">
              <w:rPr>
                <w:rFonts w:ascii="Times New Roman" w:hAnsi="Times New Roman" w:cs="Times New Roman"/>
              </w:rPr>
              <w:t>2</w:t>
            </w:r>
            <w:r w:rsidR="00BA69FD">
              <w:rPr>
                <w:rFonts w:ascii="Times New Roman" w:hAnsi="Times New Roman" w:cs="Times New Roman"/>
              </w:rPr>
              <w:t>5</w:t>
            </w:r>
            <w:r w:rsidRPr="00745C41">
              <w:rPr>
                <w:rFonts w:ascii="Times New Roman" w:hAnsi="Times New Roman" w:cs="Times New Roman"/>
              </w:rPr>
              <w:t xml:space="preserve">.gada izdevumu izpilde ir par </w:t>
            </w:r>
            <w:r w:rsidR="00F34C75">
              <w:rPr>
                <w:rFonts w:ascii="Times New Roman" w:hAnsi="Times New Roman" w:cs="Times New Roman"/>
              </w:rPr>
              <w:t>172 349</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F55C8A">
              <w:rPr>
                <w:rFonts w:ascii="Times New Roman" w:hAnsi="Times New Roman" w:cs="Times New Roman"/>
              </w:rPr>
              <w:t>1,6</w:t>
            </w:r>
            <w:r w:rsidR="00710F7D" w:rsidRPr="00745C41">
              <w:rPr>
                <w:rFonts w:ascii="Times New Roman" w:hAnsi="Times New Roman" w:cs="Times New Roman"/>
              </w:rPr>
              <w:t xml:space="preserve"> </w:t>
            </w:r>
            <w:r w:rsidR="00662367" w:rsidRPr="00745C41">
              <w:rPr>
                <w:rFonts w:ascii="Times New Roman" w:hAnsi="Times New Roman" w:cs="Times New Roman"/>
              </w:rPr>
              <w:t>%</w:t>
            </w:r>
            <w:r w:rsidRPr="00745C41">
              <w:rPr>
                <w:rFonts w:ascii="Times New Roman" w:hAnsi="Times New Roman" w:cs="Times New Roman"/>
              </w:rPr>
              <w:t xml:space="preserve"> </w:t>
            </w:r>
            <w:r w:rsidR="00F55C8A">
              <w:rPr>
                <w:rFonts w:ascii="Times New Roman" w:hAnsi="Times New Roman" w:cs="Times New Roman"/>
              </w:rPr>
              <w:t>lielāka</w:t>
            </w:r>
            <w:r w:rsidRPr="00745C41">
              <w:rPr>
                <w:rFonts w:ascii="Times New Roman" w:hAnsi="Times New Roman" w:cs="Times New Roman"/>
              </w:rPr>
              <w:t xml:space="preserve"> nekā plānots. </w:t>
            </w:r>
          </w:p>
          <w:p w14:paraId="3E55384C" w14:textId="77777777" w:rsidR="00196B73" w:rsidRPr="00745C41" w:rsidRDefault="00196B73" w:rsidP="00441A16">
            <w:pPr>
              <w:tabs>
                <w:tab w:val="left" w:pos="993"/>
              </w:tabs>
              <w:rPr>
                <w:rFonts w:ascii="Times New Roman" w:hAnsi="Times New Roman" w:cs="Times New Roman"/>
              </w:rPr>
            </w:pPr>
          </w:p>
          <w:p w14:paraId="1D7BA398" w14:textId="77777777" w:rsidR="00196B73" w:rsidRPr="00745C41" w:rsidRDefault="00196B73" w:rsidP="00441A16">
            <w:pPr>
              <w:tabs>
                <w:tab w:val="left" w:pos="993"/>
              </w:tabs>
              <w:rPr>
                <w:rFonts w:ascii="Times New Roman" w:hAnsi="Times New Roman" w:cs="Times New Roman"/>
              </w:rPr>
            </w:pPr>
            <w:r w:rsidRPr="00745C41">
              <w:rPr>
                <w:rFonts w:ascii="Times New Roman" w:hAnsi="Times New Roman" w:cs="Times New Roman"/>
              </w:rPr>
              <w:t xml:space="preserve">Izmaiņu ietekmējošie faktori: </w:t>
            </w:r>
          </w:p>
          <w:p w14:paraId="4E9D33D3" w14:textId="5E99F554" w:rsidR="00196B73" w:rsidRPr="00745C41" w:rsidRDefault="00196B73" w:rsidP="00196B73">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Atlīdzības izdevumu izpilde ir par </w:t>
            </w:r>
            <w:r w:rsidR="00F55C8A">
              <w:rPr>
                <w:rFonts w:ascii="Times New Roman" w:hAnsi="Times New Roman" w:cs="Times New Roman"/>
              </w:rPr>
              <w:t>13 131</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F55C8A">
              <w:rPr>
                <w:rFonts w:ascii="Times New Roman" w:hAnsi="Times New Roman" w:cs="Times New Roman"/>
              </w:rPr>
              <w:t>0,16</w:t>
            </w:r>
            <w:r w:rsidRPr="00745C41">
              <w:rPr>
                <w:rFonts w:ascii="Times New Roman" w:hAnsi="Times New Roman" w:cs="Times New Roman"/>
              </w:rPr>
              <w:t xml:space="preserve"> %</w:t>
            </w:r>
            <w:r w:rsidR="006F731F" w:rsidRPr="00745C41">
              <w:rPr>
                <w:rFonts w:ascii="Times New Roman" w:hAnsi="Times New Roman" w:cs="Times New Roman"/>
              </w:rPr>
              <w:t xml:space="preserve"> </w:t>
            </w:r>
            <w:r w:rsidR="00F55C8A">
              <w:rPr>
                <w:rFonts w:ascii="Times New Roman" w:hAnsi="Times New Roman" w:cs="Times New Roman"/>
              </w:rPr>
              <w:t>lielāka</w:t>
            </w:r>
            <w:r w:rsidRPr="00745C41">
              <w:rPr>
                <w:rFonts w:ascii="Times New Roman" w:hAnsi="Times New Roman" w:cs="Times New Roman"/>
              </w:rPr>
              <w:t xml:space="preserve"> nekā plānots, saistībā ar </w:t>
            </w:r>
            <w:r w:rsidR="00E75C30" w:rsidRPr="00745C41">
              <w:rPr>
                <w:rFonts w:ascii="Times New Roman" w:hAnsi="Times New Roman" w:cs="Times New Roman"/>
              </w:rPr>
              <w:t>to, ka</w:t>
            </w:r>
            <w:r w:rsidR="00F55C8A">
              <w:rPr>
                <w:rFonts w:ascii="Times New Roman" w:hAnsi="Times New Roman" w:cs="Times New Roman"/>
              </w:rPr>
              <w:t xml:space="preserve"> darbinieki atvaļinājumu vairāk izmanto vasaras mēnešos. </w:t>
            </w:r>
          </w:p>
          <w:p w14:paraId="41C3597E" w14:textId="41A4022F" w:rsidR="00710F7D" w:rsidRPr="0076659A" w:rsidRDefault="00710F7D" w:rsidP="00176017">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Preču un pakalpojumu izdevumu izpilde ir par </w:t>
            </w:r>
            <w:r w:rsidR="00F55C8A">
              <w:rPr>
                <w:rFonts w:ascii="Times New Roman" w:hAnsi="Times New Roman" w:cs="Times New Roman"/>
              </w:rPr>
              <w:t>206 141</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F55C8A">
              <w:rPr>
                <w:rFonts w:ascii="Times New Roman" w:hAnsi="Times New Roman" w:cs="Times New Roman"/>
              </w:rPr>
              <w:t>9,66</w:t>
            </w:r>
            <w:r w:rsidRPr="00745C41">
              <w:rPr>
                <w:rFonts w:ascii="Times New Roman" w:hAnsi="Times New Roman" w:cs="Times New Roman"/>
              </w:rPr>
              <w:t xml:space="preserve"> % </w:t>
            </w:r>
            <w:r w:rsidR="00F55C8A">
              <w:rPr>
                <w:rFonts w:ascii="Times New Roman" w:hAnsi="Times New Roman" w:cs="Times New Roman"/>
              </w:rPr>
              <w:t>lielāka</w:t>
            </w:r>
            <w:r w:rsidRPr="00745C41">
              <w:rPr>
                <w:rFonts w:ascii="Times New Roman" w:hAnsi="Times New Roman" w:cs="Times New Roman"/>
              </w:rPr>
              <w:t xml:space="preserve"> nekā plānots</w:t>
            </w:r>
            <w:r w:rsidR="00176017">
              <w:rPr>
                <w:rFonts w:ascii="Times New Roman" w:hAnsi="Times New Roman" w:cs="Times New Roman"/>
              </w:rPr>
              <w:t xml:space="preserve"> saistībā ar to</w:t>
            </w:r>
            <w:r w:rsidR="008D6E57" w:rsidRPr="00745C41">
              <w:rPr>
                <w:rFonts w:ascii="Times New Roman" w:hAnsi="Times New Roman" w:cs="Times New Roman"/>
              </w:rPr>
              <w:t xml:space="preserve">, </w:t>
            </w:r>
            <w:r w:rsidR="00176017">
              <w:rPr>
                <w:rFonts w:ascii="Times New Roman" w:hAnsi="Times New Roman" w:cs="Times New Roman"/>
              </w:rPr>
              <w:t xml:space="preserve">ka </w:t>
            </w:r>
            <w:r w:rsidR="00176017" w:rsidRPr="00176017">
              <w:rPr>
                <w:rFonts w:ascii="Times New Roman" w:hAnsi="Times New Roman" w:cs="Times New Roman"/>
              </w:rPr>
              <w:t>tika samaksāts avansa maksājums pēc noslēgtā līguma nosacījumiem par elektroinstalācijas atjaunošanas darbiem filiālē "Litene" par visiem četriem posmiem</w:t>
            </w:r>
            <w:r w:rsidR="0040231D" w:rsidRPr="0076659A">
              <w:rPr>
                <w:rFonts w:ascii="Times New Roman" w:hAnsi="Times New Roman" w:cs="Times New Roman"/>
              </w:rPr>
              <w:t>.</w:t>
            </w:r>
          </w:p>
          <w:p w14:paraId="638CAF1A" w14:textId="77499349" w:rsidR="00196B73" w:rsidRPr="00ED3A39" w:rsidRDefault="00196B73" w:rsidP="005861DE">
            <w:pPr>
              <w:pStyle w:val="ListParagraph"/>
              <w:numPr>
                <w:ilvl w:val="0"/>
                <w:numId w:val="36"/>
              </w:numPr>
              <w:tabs>
                <w:tab w:val="left" w:pos="993"/>
              </w:tabs>
              <w:rPr>
                <w:rFonts w:ascii="Times New Roman" w:hAnsi="Times New Roman" w:cs="Times New Roman"/>
              </w:rPr>
            </w:pPr>
            <w:r w:rsidRPr="00745C41">
              <w:rPr>
                <w:rFonts w:ascii="Times New Roman" w:hAnsi="Times New Roman" w:cs="Times New Roman"/>
              </w:rPr>
              <w:t xml:space="preserve">Kapitālajiem izdevumiem izpilde ir par </w:t>
            </w:r>
            <w:r w:rsidR="00607CF8">
              <w:rPr>
                <w:rFonts w:ascii="Times New Roman" w:hAnsi="Times New Roman" w:cs="Times New Roman"/>
              </w:rPr>
              <w:t>41 160</w:t>
            </w:r>
            <w:r w:rsidRPr="00745C41">
              <w:rPr>
                <w:rFonts w:ascii="Times New Roman" w:hAnsi="Times New Roman" w:cs="Times New Roman"/>
              </w:rPr>
              <w:t xml:space="preserve"> </w:t>
            </w:r>
            <w:r w:rsidRPr="00745C41">
              <w:rPr>
                <w:rFonts w:ascii="Times New Roman" w:hAnsi="Times New Roman" w:cs="Times New Roman"/>
                <w:i/>
              </w:rPr>
              <w:t>euro</w:t>
            </w:r>
            <w:r w:rsidRPr="00745C41">
              <w:rPr>
                <w:rFonts w:ascii="Times New Roman" w:hAnsi="Times New Roman" w:cs="Times New Roman"/>
              </w:rPr>
              <w:t xml:space="preserve"> jeb </w:t>
            </w:r>
            <w:r w:rsidR="005861DE">
              <w:rPr>
                <w:rFonts w:ascii="Times New Roman" w:hAnsi="Times New Roman" w:cs="Times New Roman"/>
              </w:rPr>
              <w:t>10,63</w:t>
            </w:r>
            <w:r w:rsidR="0076659A">
              <w:rPr>
                <w:rFonts w:ascii="Times New Roman" w:hAnsi="Times New Roman" w:cs="Times New Roman"/>
              </w:rPr>
              <w:t xml:space="preserve"> </w:t>
            </w:r>
            <w:r w:rsidR="005861DE">
              <w:rPr>
                <w:rFonts w:ascii="Times New Roman" w:hAnsi="Times New Roman" w:cs="Times New Roman"/>
              </w:rPr>
              <w:t>% mazāka</w:t>
            </w:r>
            <w:r w:rsidR="0023420B" w:rsidRPr="00745C41">
              <w:rPr>
                <w:rFonts w:ascii="Times New Roman" w:hAnsi="Times New Roman" w:cs="Times New Roman"/>
              </w:rPr>
              <w:t xml:space="preserve"> nekā plānots, saistībā </w:t>
            </w:r>
            <w:r w:rsidR="002F3501" w:rsidRPr="00745C41">
              <w:rPr>
                <w:rFonts w:ascii="Times New Roman" w:hAnsi="Times New Roman" w:cs="Times New Roman"/>
              </w:rPr>
              <w:t xml:space="preserve"> ar to,</w:t>
            </w:r>
            <w:r w:rsidR="0084240C">
              <w:rPr>
                <w:rFonts w:ascii="Times New Roman" w:hAnsi="Times New Roman" w:cs="Times New Roman"/>
              </w:rPr>
              <w:t xml:space="preserve"> </w:t>
            </w:r>
            <w:r w:rsidR="00745C41" w:rsidRPr="00745C41">
              <w:rPr>
                <w:rFonts w:ascii="Times New Roman" w:hAnsi="Times New Roman" w:cs="Times New Roman"/>
              </w:rPr>
              <w:t xml:space="preserve">ka </w:t>
            </w:r>
            <w:r w:rsidR="005861DE">
              <w:rPr>
                <w:rFonts w:ascii="Times New Roman" w:hAnsi="Times New Roman" w:cs="Times New Roman"/>
              </w:rPr>
              <w:t>nav</w:t>
            </w:r>
            <w:r w:rsidR="002F3501" w:rsidRPr="00745C41">
              <w:rPr>
                <w:rFonts w:ascii="Times New Roman" w:hAnsi="Times New Roman" w:cs="Times New Roman"/>
              </w:rPr>
              <w:t xml:space="preserve"> </w:t>
            </w:r>
            <w:r w:rsidR="005861DE">
              <w:rPr>
                <w:rFonts w:ascii="Times New Roman" w:hAnsi="Times New Roman" w:cs="Times New Roman"/>
              </w:rPr>
              <w:t xml:space="preserve">iegādātas </w:t>
            </w:r>
            <w:r w:rsidR="0076659A">
              <w:rPr>
                <w:rFonts w:ascii="Times New Roman" w:hAnsi="Times New Roman" w:cs="Times New Roman"/>
              </w:rPr>
              <w:t>funkcionālās gultas</w:t>
            </w:r>
            <w:r w:rsidR="005861DE">
              <w:rPr>
                <w:rFonts w:ascii="Times New Roman" w:hAnsi="Times New Roman" w:cs="Times New Roman"/>
              </w:rPr>
              <w:t xml:space="preserve"> pēc veiktās iepirkuma procedūras.</w:t>
            </w:r>
          </w:p>
        </w:tc>
      </w:tr>
      <w:tr w:rsidR="00670C97" w:rsidRPr="00CC77D5" w14:paraId="083C07B3" w14:textId="77777777" w:rsidTr="008C3655">
        <w:tc>
          <w:tcPr>
            <w:tcW w:w="14295" w:type="dxa"/>
            <w:gridSpan w:val="3"/>
          </w:tcPr>
          <w:p w14:paraId="6C135411" w14:textId="77777777" w:rsidR="00670C97" w:rsidRPr="0000255C" w:rsidRDefault="00670C97" w:rsidP="008C3655">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3C8CFFBF" w14:textId="77777777" w:rsidR="00670C97" w:rsidRPr="0000255C" w:rsidRDefault="00670C97" w:rsidP="008C3655">
            <w:pPr>
              <w:tabs>
                <w:tab w:val="left" w:pos="993"/>
                <w:tab w:val="left" w:pos="6812"/>
              </w:tabs>
              <w:spacing w:before="60"/>
              <w:jc w:val="center"/>
              <w:rPr>
                <w:rFonts w:ascii="Times New Roman" w:hAnsi="Times New Roman" w:cs="Times New Roman"/>
                <w:b/>
              </w:rPr>
            </w:pPr>
          </w:p>
        </w:tc>
      </w:tr>
    </w:tbl>
    <w:tbl>
      <w:tblPr>
        <w:tblStyle w:val="TableGrid1"/>
        <w:tblW w:w="14295" w:type="dxa"/>
        <w:tblInd w:w="-289" w:type="dxa"/>
        <w:tblLook w:val="04A0" w:firstRow="1" w:lastRow="0" w:firstColumn="1" w:lastColumn="0" w:noHBand="0" w:noVBand="1"/>
      </w:tblPr>
      <w:tblGrid>
        <w:gridCol w:w="7236"/>
        <w:gridCol w:w="7059"/>
      </w:tblGrid>
      <w:tr w:rsidR="00670C97" w:rsidRPr="00CC77D5" w14:paraId="11278AA3" w14:textId="77777777" w:rsidTr="008C3655">
        <w:tc>
          <w:tcPr>
            <w:tcW w:w="7236" w:type="dxa"/>
          </w:tcPr>
          <w:p w14:paraId="0200122E" w14:textId="77777777" w:rsidR="00670C97" w:rsidRPr="00C21F39" w:rsidRDefault="00670C97" w:rsidP="008C3655">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57C6325F" w14:textId="77777777" w:rsidR="00670C97" w:rsidRPr="0033560F" w:rsidRDefault="00670C97" w:rsidP="008C3655">
            <w:pPr>
              <w:tabs>
                <w:tab w:val="left" w:pos="993"/>
              </w:tabs>
              <w:spacing w:before="40" w:after="40"/>
              <w:rPr>
                <w:rFonts w:ascii="Times New Roman" w:hAnsi="Times New Roman" w:cs="Times New Roman"/>
                <w:b/>
                <w:u w:val="single"/>
              </w:rPr>
            </w:pPr>
            <w:r w:rsidRPr="0033560F">
              <w:rPr>
                <w:rFonts w:ascii="Times New Roman" w:hAnsi="Times New Roman" w:cs="Times New Roman"/>
                <w:b/>
              </w:rPr>
              <w:lastRenderedPageBreak/>
              <w:t xml:space="preserve">                                       </w:t>
            </w:r>
            <w:r>
              <w:rPr>
                <w:rFonts w:ascii="Times New Roman" w:hAnsi="Times New Roman" w:cs="Times New Roman"/>
                <w:b/>
                <w:u w:val="single"/>
              </w:rPr>
              <w:t>69.07.00</w:t>
            </w:r>
          </w:p>
        </w:tc>
        <w:tc>
          <w:tcPr>
            <w:tcW w:w="7059" w:type="dxa"/>
          </w:tcPr>
          <w:p w14:paraId="6987412D" w14:textId="77777777" w:rsidR="00670C97" w:rsidRPr="00A1409F" w:rsidRDefault="00670C97" w:rsidP="008C3655">
            <w:pPr>
              <w:rPr>
                <w:b/>
                <w:bCs/>
              </w:rPr>
            </w:pPr>
            <w:r>
              <w:rPr>
                <w:b/>
                <w:bCs/>
              </w:rPr>
              <w:lastRenderedPageBreak/>
              <w:t>"Pārrobežu sadarbības programmu, projektu un pasākumu īstenošana (2021-2027)"</w:t>
            </w:r>
            <w:r>
              <w:rPr>
                <w:b/>
                <w:bCs/>
              </w:rPr>
              <w:br/>
            </w:r>
            <w:r w:rsidRPr="00A1409F">
              <w:rPr>
                <w:b/>
                <w:bCs/>
              </w:rPr>
              <w:lastRenderedPageBreak/>
              <w:t>Projekts  LL-00272 "( SoCreative)Sociālās iekļaušanas veicināšana un neaizsargāto grupu iespēju palielināšana, izmantojot integrētas un radošas metodoloģijas"</w:t>
            </w:r>
          </w:p>
          <w:p w14:paraId="04DC43F4" w14:textId="77777777" w:rsidR="00670C97" w:rsidRPr="00CC77D5" w:rsidRDefault="00670C97" w:rsidP="008C3655">
            <w:pPr>
              <w:tabs>
                <w:tab w:val="left" w:pos="993"/>
              </w:tabs>
              <w:spacing w:before="40" w:after="40"/>
              <w:rPr>
                <w:rFonts w:ascii="Times New Roman" w:hAnsi="Times New Roman" w:cs="Times New Roman"/>
                <w:b/>
              </w:rPr>
            </w:pPr>
          </w:p>
        </w:tc>
      </w:tr>
      <w:tr w:rsidR="00670C97" w:rsidRPr="00CC77D5" w14:paraId="0947C695" w14:textId="77777777" w:rsidTr="008C3655">
        <w:tc>
          <w:tcPr>
            <w:tcW w:w="7236" w:type="dxa"/>
          </w:tcPr>
          <w:p w14:paraId="34FE3C06" w14:textId="77777777" w:rsidR="00670C97" w:rsidRPr="00CC77D5" w:rsidRDefault="00670C97" w:rsidP="008C3655">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059" w:type="dxa"/>
          </w:tcPr>
          <w:p w14:paraId="18517D7C" w14:textId="77777777" w:rsidR="00670C97" w:rsidRPr="00CC77D5" w:rsidRDefault="00670C97" w:rsidP="008C3655">
            <w:pPr>
              <w:tabs>
                <w:tab w:val="left" w:pos="993"/>
              </w:tabs>
              <w:spacing w:before="40" w:after="40"/>
              <w:rPr>
                <w:rFonts w:ascii="Times New Roman" w:hAnsi="Times New Roman" w:cs="Times New Roman"/>
                <w:b/>
              </w:rPr>
            </w:pPr>
          </w:p>
        </w:tc>
      </w:tr>
      <w:tr w:rsidR="00670C97" w:rsidRPr="005A0023" w14:paraId="56958DC8" w14:textId="77777777" w:rsidTr="008C3655">
        <w:tc>
          <w:tcPr>
            <w:tcW w:w="7236" w:type="dxa"/>
          </w:tcPr>
          <w:p w14:paraId="2199EF03" w14:textId="77777777" w:rsidR="00670C97" w:rsidRPr="00F36792" w:rsidRDefault="00670C97" w:rsidP="008C3655">
            <w:pPr>
              <w:pStyle w:val="ListParagraph"/>
              <w:numPr>
                <w:ilvl w:val="0"/>
                <w:numId w:val="37"/>
              </w:numPr>
              <w:ind w:left="720"/>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2973185D" w14:textId="77777777" w:rsidR="00670C97" w:rsidRPr="00FD6473" w:rsidRDefault="00670C97" w:rsidP="008C3655">
            <w:pPr>
              <w:pStyle w:val="ListParagraph"/>
              <w:numPr>
                <w:ilvl w:val="0"/>
                <w:numId w:val="34"/>
              </w:numPr>
              <w:tabs>
                <w:tab w:val="left" w:pos="993"/>
              </w:tabs>
              <w:rPr>
                <w:rFonts w:ascii="Times New Roman" w:hAnsi="Times New Roman" w:cs="Times New Roman"/>
                <w:b/>
              </w:rPr>
            </w:pPr>
            <w:r w:rsidRPr="00F84A3D">
              <w:rPr>
                <w:rFonts w:ascii="Times New Roman" w:hAnsi="Times New Roman"/>
                <w:sz w:val="24"/>
                <w:szCs w:val="24"/>
                <w:lang w:eastAsia="lv-LV"/>
              </w:rPr>
              <w:t>projekta pasākumi notika Latvijā un Lietuvā fokusgrupas un projekta partneru tikšanās ar mērķi apspriest projekta aktivitātes, laika grafiku un darba principus, izmantojot integrēt</w:t>
            </w:r>
            <w:r>
              <w:rPr>
                <w:rFonts w:ascii="Times New Roman" w:hAnsi="Times New Roman"/>
                <w:sz w:val="24"/>
                <w:szCs w:val="24"/>
                <w:lang w:eastAsia="lv-LV"/>
              </w:rPr>
              <w:t>ās un radošās metodoloģijas</w:t>
            </w:r>
            <w:r w:rsidRPr="00BD5EC3">
              <w:rPr>
                <w:rFonts w:ascii="Times New Roman" w:hAnsi="Times New Roman"/>
                <w:sz w:val="24"/>
                <w:szCs w:val="24"/>
                <w:lang w:eastAsia="lv-LV"/>
              </w:rPr>
              <w:t>.</w:t>
            </w:r>
          </w:p>
          <w:p w14:paraId="6C3E45EE" w14:textId="1405BB24" w:rsidR="00FD6473" w:rsidRPr="008809FA" w:rsidRDefault="00FD6473" w:rsidP="008C3655">
            <w:pPr>
              <w:pStyle w:val="ListParagraph"/>
              <w:numPr>
                <w:ilvl w:val="0"/>
                <w:numId w:val="34"/>
              </w:numPr>
              <w:tabs>
                <w:tab w:val="left" w:pos="993"/>
              </w:tabs>
              <w:rPr>
                <w:rFonts w:ascii="Times New Roman" w:hAnsi="Times New Roman" w:cs="Times New Roman"/>
                <w:b/>
              </w:rPr>
            </w:pPr>
            <w:r>
              <w:rPr>
                <w:rFonts w:ascii="Times New Roman" w:hAnsi="Times New Roman"/>
                <w:sz w:val="24"/>
                <w:szCs w:val="24"/>
                <w:lang w:eastAsia="lv-LV"/>
              </w:rPr>
              <w:t>Tika iegādātas lielformāta spēle DOMINO, dārza mēbeles, aromadifuzors un eļļas,</w:t>
            </w:r>
            <w:r w:rsidR="008809FA">
              <w:rPr>
                <w:rFonts w:ascii="Times New Roman" w:hAnsi="Times New Roman"/>
                <w:sz w:val="24"/>
                <w:szCs w:val="24"/>
                <w:lang w:eastAsia="lv-LV"/>
              </w:rPr>
              <w:t xml:space="preserve"> dārza dambretes figūras, VIDEX LED parku laternas komplekts, lielformāta āra mūzikas instrumenti, mūzikas centrs, stādi un materiāli atvērtā dārza ierīkošanai.</w:t>
            </w:r>
          </w:p>
          <w:p w14:paraId="3AE91A5D" w14:textId="1AB70ADD" w:rsidR="008809FA" w:rsidRPr="00BD5EC3" w:rsidRDefault="008809FA" w:rsidP="008C3655">
            <w:pPr>
              <w:pStyle w:val="ListParagraph"/>
              <w:numPr>
                <w:ilvl w:val="0"/>
                <w:numId w:val="34"/>
              </w:numPr>
              <w:tabs>
                <w:tab w:val="left" w:pos="993"/>
              </w:tabs>
              <w:rPr>
                <w:rFonts w:ascii="Times New Roman" w:hAnsi="Times New Roman" w:cs="Times New Roman"/>
                <w:b/>
              </w:rPr>
            </w:pPr>
            <w:r>
              <w:rPr>
                <w:rFonts w:ascii="Times New Roman" w:hAnsi="Times New Roman"/>
                <w:sz w:val="24"/>
                <w:szCs w:val="24"/>
                <w:lang w:eastAsia="lv-LV"/>
              </w:rPr>
              <w:t>Iegādāta plāksne un uzstādīts Roll up stends ar projekta logo.</w:t>
            </w:r>
          </w:p>
          <w:p w14:paraId="3F7A6C32" w14:textId="77777777" w:rsidR="00670C97" w:rsidRPr="005A0023" w:rsidRDefault="00670C97" w:rsidP="008C3655">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CB679B" w:rsidRPr="005A0023" w14:paraId="2B6E246D" w14:textId="77777777" w:rsidTr="008C3655">
        <w:tc>
          <w:tcPr>
            <w:tcW w:w="7236" w:type="dxa"/>
          </w:tcPr>
          <w:p w14:paraId="42765510" w14:textId="53332279" w:rsidR="00CB679B" w:rsidRPr="00CB679B" w:rsidRDefault="00CB679B" w:rsidP="00CB679B">
            <w:pPr>
              <w:rPr>
                <w:rFonts w:ascii="Times New Roman" w:hAnsi="Times New Roman" w:cs="Times New Roman"/>
                <w:b/>
              </w:rPr>
            </w:pPr>
            <w:r>
              <w:rPr>
                <w:rFonts w:ascii="Times New Roman" w:hAnsi="Times New Roman" w:cs="Times New Roman"/>
              </w:rPr>
              <w:t xml:space="preserve"> </w:t>
            </w:r>
            <w:r w:rsidRPr="00CB679B">
              <w:rPr>
                <w:rFonts w:ascii="Times New Roman" w:hAnsi="Times New Roman" w:cs="Times New Roman"/>
                <w:b/>
              </w:rPr>
              <w:t>Neizpilde</w:t>
            </w:r>
          </w:p>
        </w:tc>
        <w:tc>
          <w:tcPr>
            <w:tcW w:w="7059" w:type="dxa"/>
          </w:tcPr>
          <w:p w14:paraId="50AA2C31" w14:textId="77777777" w:rsidR="00CB679B" w:rsidRPr="00F84A3D" w:rsidRDefault="00CB679B" w:rsidP="00CB679B">
            <w:pPr>
              <w:pStyle w:val="ListParagraph"/>
              <w:tabs>
                <w:tab w:val="left" w:pos="993"/>
              </w:tabs>
              <w:rPr>
                <w:rFonts w:ascii="Times New Roman" w:hAnsi="Times New Roman"/>
                <w:sz w:val="24"/>
                <w:szCs w:val="24"/>
                <w:lang w:eastAsia="lv-LV"/>
              </w:rPr>
            </w:pPr>
          </w:p>
        </w:tc>
      </w:tr>
      <w:tr w:rsidR="00CB679B" w:rsidRPr="005A0023" w14:paraId="5C368057" w14:textId="77777777" w:rsidTr="008C3655">
        <w:tc>
          <w:tcPr>
            <w:tcW w:w="7236" w:type="dxa"/>
          </w:tcPr>
          <w:p w14:paraId="7B7DB6DC" w14:textId="7E5EF139" w:rsidR="00CB679B" w:rsidRPr="00F36792" w:rsidRDefault="00CB679B" w:rsidP="008C3655">
            <w:pPr>
              <w:pStyle w:val="ListParagraph"/>
              <w:numPr>
                <w:ilvl w:val="0"/>
                <w:numId w:val="37"/>
              </w:numPr>
              <w:ind w:left="720"/>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5F74D88C" w14:textId="77777777" w:rsidR="00CB679B" w:rsidRPr="00CB679B" w:rsidRDefault="00CB679B" w:rsidP="00CB679B">
            <w:pPr>
              <w:pStyle w:val="ListParagraph"/>
              <w:tabs>
                <w:tab w:val="left" w:pos="993"/>
              </w:tabs>
              <w:rPr>
                <w:rFonts w:ascii="Times New Roman" w:hAnsi="Times New Roman"/>
                <w:sz w:val="24"/>
                <w:szCs w:val="24"/>
                <w:lang w:eastAsia="lv-LV"/>
              </w:rPr>
            </w:pPr>
            <w:r w:rsidRPr="00CB679B">
              <w:rPr>
                <w:rFonts w:ascii="Times New Roman" w:hAnsi="Times New Roman"/>
                <w:sz w:val="24"/>
                <w:szCs w:val="24"/>
                <w:lang w:eastAsia="lv-LV"/>
              </w:rPr>
              <w:t>Plānotie izdevumi atlīdzībai EKK 1000 apgūti par 3 130 euro mazāk nekā plānots, saistībā ar to, ka projekta lielākās aktivitātes notiks  IV . ceturksnī, līdz ar to arī atlīdzība tiks novirzīta šajā periodā  ,  Preces un pakalpojumi EKK 2000 apgūti  par 2 677 euro mazāk nekā plānots, saistībā ar to, ka projekta pasākumi notika Latvijā un Lietuvā fokusgrupas un projekta partneru tikšanās ar mērķi apspriest projekta aktivitātes, laika grafiku un darba principus, izmantojot integrētās un radošās metodoloģijas, bet  materiāli nodarbībām, atvērtā dārza iekārtošanas un stādīšanas materiāls, u.c. preces tika iegādātas par mazākām summām nekā bija sākotnēji ieplānots  .</w:t>
            </w:r>
          </w:p>
          <w:p w14:paraId="20DD1334" w14:textId="20A464FA" w:rsidR="00CB679B" w:rsidRPr="00F84A3D" w:rsidRDefault="00CB679B" w:rsidP="00CB679B">
            <w:pPr>
              <w:pStyle w:val="ListParagraph"/>
              <w:tabs>
                <w:tab w:val="left" w:pos="993"/>
              </w:tabs>
              <w:rPr>
                <w:rFonts w:ascii="Times New Roman" w:hAnsi="Times New Roman"/>
                <w:sz w:val="24"/>
                <w:szCs w:val="24"/>
                <w:lang w:eastAsia="lv-LV"/>
              </w:rPr>
            </w:pPr>
            <w:r w:rsidRPr="00CB679B">
              <w:rPr>
                <w:rFonts w:ascii="Times New Roman" w:hAnsi="Times New Roman"/>
                <w:sz w:val="24"/>
                <w:szCs w:val="24"/>
                <w:lang w:eastAsia="lv-LV"/>
              </w:rPr>
              <w:t xml:space="preserve">                                                                                                                                                        </w:t>
            </w:r>
          </w:p>
        </w:tc>
      </w:tr>
      <w:tr w:rsidR="00F90C30" w14:paraId="6F6F4D7A" w14:textId="77777777" w:rsidTr="0005335B">
        <w:tc>
          <w:tcPr>
            <w:tcW w:w="7236" w:type="dxa"/>
          </w:tcPr>
          <w:p w14:paraId="5724198C" w14:textId="1BA523CD" w:rsidR="00F90C30" w:rsidRPr="0000255C" w:rsidRDefault="00F90C30" w:rsidP="0005335B">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t>Programmas/apakšprogrammas kods</w:t>
            </w:r>
          </w:p>
          <w:p w14:paraId="1EF4FEE8" w14:textId="2EB44308" w:rsidR="00F90C30" w:rsidRDefault="00F90C30" w:rsidP="00F90C30">
            <w:pPr>
              <w:tabs>
                <w:tab w:val="left" w:pos="993"/>
              </w:tabs>
              <w:jc w:val="center"/>
              <w:rPr>
                <w:rFonts w:ascii="Times New Roman" w:hAnsi="Times New Roman" w:cs="Times New Roman"/>
              </w:rPr>
            </w:pPr>
            <w:r w:rsidRPr="0000255C">
              <w:rPr>
                <w:rFonts w:ascii="Times New Roman" w:hAnsi="Times New Roman" w:cs="Times New Roman"/>
                <w:b/>
                <w:u w:val="single"/>
              </w:rPr>
              <w:t>64.0</w:t>
            </w:r>
            <w:r>
              <w:rPr>
                <w:rFonts w:ascii="Times New Roman" w:hAnsi="Times New Roman" w:cs="Times New Roman"/>
                <w:b/>
                <w:u w:val="single"/>
              </w:rPr>
              <w:t>8</w:t>
            </w:r>
            <w:r w:rsidRPr="0000255C">
              <w:rPr>
                <w:rFonts w:ascii="Times New Roman" w:hAnsi="Times New Roman" w:cs="Times New Roman"/>
                <w:b/>
                <w:u w:val="single"/>
              </w:rPr>
              <w:t>.00.</w:t>
            </w:r>
          </w:p>
        </w:tc>
        <w:tc>
          <w:tcPr>
            <w:tcW w:w="7059" w:type="dxa"/>
          </w:tcPr>
          <w:p w14:paraId="37E3C51A" w14:textId="77777777" w:rsidR="00F90C30" w:rsidRPr="0000255C" w:rsidRDefault="00F90C30" w:rsidP="0005335B">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380D407A"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r w:rsidRPr="0000255C">
              <w:rPr>
                <w:rFonts w:ascii="Times New Roman" w:hAnsi="Times New Roman" w:cs="Times New Roman"/>
                <w:b/>
                <w:bCs/>
              </w:rPr>
              <w:t xml:space="preserve">Eiropas Lauksaimniecības garantiju fonda (ELGF) </w:t>
            </w:r>
            <w:r>
              <w:rPr>
                <w:rFonts w:ascii="Times New Roman" w:hAnsi="Times New Roman" w:cs="Times New Roman"/>
                <w:b/>
                <w:bCs/>
              </w:rPr>
              <w:t>projektu un pasākumu īstenošana labklājības nozarē (2023-2027)</w:t>
            </w:r>
            <w:r w:rsidRPr="0000255C">
              <w:rPr>
                <w:rFonts w:ascii="Times New Roman" w:hAnsi="Times New Roman" w:cs="Times New Roman"/>
                <w:b/>
                <w:bCs/>
              </w:rPr>
              <w:br/>
            </w:r>
            <w:r w:rsidRPr="0000255C">
              <w:rPr>
                <w:rFonts w:ascii="Times New Roman" w:hAnsi="Times New Roman" w:cs="Times New Roman"/>
                <w:b/>
                <w:bCs/>
              </w:rPr>
              <w:lastRenderedPageBreak/>
              <w:t xml:space="preserve"> Atbalsts lauksaimniecības, mežsaimniecības, zivsaimniecības un medniecības nozaru pasākumiem.   </w:t>
            </w:r>
          </w:p>
        </w:tc>
      </w:tr>
      <w:tr w:rsidR="00F90C30" w14:paraId="4D94762E" w14:textId="77777777" w:rsidTr="0005335B">
        <w:tc>
          <w:tcPr>
            <w:tcW w:w="7236" w:type="dxa"/>
          </w:tcPr>
          <w:p w14:paraId="1BFC3443" w14:textId="77777777" w:rsidR="00F90C30" w:rsidRPr="0000255C" w:rsidRDefault="00F90C30" w:rsidP="0005335B">
            <w:pPr>
              <w:tabs>
                <w:tab w:val="left" w:pos="6812"/>
              </w:tabs>
              <w:spacing w:before="60"/>
              <w:jc w:val="center"/>
              <w:rPr>
                <w:rFonts w:ascii="Times New Roman" w:hAnsi="Times New Roman" w:cs="Times New Roman"/>
                <w:b/>
              </w:rPr>
            </w:pPr>
            <w:r w:rsidRPr="007E33A0">
              <w:rPr>
                <w:rFonts w:ascii="Times New Roman" w:hAnsi="Times New Roman" w:cs="Times New Roman"/>
                <w:b/>
              </w:rPr>
              <w:lastRenderedPageBreak/>
              <w:t>Paveiktais</w:t>
            </w:r>
          </w:p>
        </w:tc>
        <w:tc>
          <w:tcPr>
            <w:tcW w:w="7059" w:type="dxa"/>
          </w:tcPr>
          <w:p w14:paraId="356DBA65"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F90C30" w14:paraId="472FB830" w14:textId="77777777" w:rsidTr="0005335B">
        <w:tc>
          <w:tcPr>
            <w:tcW w:w="7236" w:type="dxa"/>
          </w:tcPr>
          <w:p w14:paraId="5386931C" w14:textId="77777777" w:rsidR="00F90C30" w:rsidRPr="007E33A0" w:rsidRDefault="00F90C30" w:rsidP="0005335B">
            <w:pPr>
              <w:tabs>
                <w:tab w:val="left" w:pos="6812"/>
              </w:tabs>
              <w:spacing w:before="60"/>
              <w:jc w:val="center"/>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13A4725C" w14:textId="4A4C5AF3" w:rsidR="00F90C30" w:rsidRPr="0000255C" w:rsidRDefault="00F90C30" w:rsidP="0005335B">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25</w:t>
            </w:r>
            <w:r w:rsidRPr="0000255C">
              <w:rPr>
                <w:rFonts w:ascii="Times New Roman" w:hAnsi="Times New Roman"/>
                <w:b/>
                <w:sz w:val="24"/>
                <w:szCs w:val="24"/>
                <w:lang w:eastAsia="lv-LV"/>
              </w:rPr>
              <w:t xml:space="preserve">. gada </w:t>
            </w:r>
            <w:r w:rsidR="008809FA">
              <w:rPr>
                <w:rFonts w:ascii="Times New Roman" w:hAnsi="Times New Roman"/>
                <w:b/>
                <w:sz w:val="24"/>
                <w:szCs w:val="24"/>
                <w:lang w:eastAsia="lv-LV"/>
              </w:rPr>
              <w:t>9</w:t>
            </w:r>
            <w:r w:rsidRPr="0000255C">
              <w:rPr>
                <w:rFonts w:ascii="Times New Roman" w:hAnsi="Times New Roman"/>
                <w:b/>
                <w:sz w:val="24"/>
                <w:szCs w:val="24"/>
                <w:lang w:eastAsia="lv-LV"/>
              </w:rPr>
              <w:t xml:space="preserve"> mēnešos ir </w:t>
            </w:r>
            <w:r w:rsidR="00E55C7B">
              <w:rPr>
                <w:rFonts w:ascii="Times New Roman" w:hAnsi="Times New Roman"/>
                <w:b/>
                <w:bCs/>
                <w:sz w:val="24"/>
                <w:szCs w:val="24"/>
                <w:lang w:eastAsia="lv-LV"/>
              </w:rPr>
              <w:t>6</w:t>
            </w:r>
            <w:r w:rsidR="008809FA">
              <w:rPr>
                <w:rFonts w:ascii="Times New Roman" w:hAnsi="Times New Roman"/>
                <w:b/>
                <w:bCs/>
                <w:sz w:val="24"/>
                <w:szCs w:val="24"/>
                <w:lang w:eastAsia="lv-LV"/>
              </w:rPr>
              <w:t>84</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E55C7B">
              <w:rPr>
                <w:rFonts w:ascii="Times New Roman" w:hAnsi="Times New Roman"/>
                <w:sz w:val="24"/>
                <w:szCs w:val="24"/>
                <w:lang w:eastAsia="lv-LV"/>
              </w:rPr>
              <w:t>6</w:t>
            </w:r>
            <w:r w:rsidR="008809FA">
              <w:rPr>
                <w:rFonts w:ascii="Times New Roman" w:hAnsi="Times New Roman"/>
                <w:sz w:val="24"/>
                <w:szCs w:val="24"/>
                <w:lang w:eastAsia="lv-LV"/>
              </w:rPr>
              <w:t>85</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Pr>
                <w:rFonts w:ascii="Times New Roman" w:hAnsi="Times New Roman"/>
                <w:sz w:val="24"/>
                <w:szCs w:val="24"/>
                <w:lang w:eastAsia="lv-LV"/>
              </w:rPr>
              <w:t>99,</w:t>
            </w:r>
            <w:r w:rsidR="00E55C7B">
              <w:rPr>
                <w:rFonts w:ascii="Times New Roman" w:hAnsi="Times New Roman"/>
                <w:sz w:val="24"/>
                <w:szCs w:val="24"/>
                <w:lang w:eastAsia="lv-LV"/>
              </w:rPr>
              <w:t>9</w:t>
            </w:r>
            <w:r w:rsidRPr="0000255C">
              <w:rPr>
                <w:rFonts w:ascii="Times New Roman" w:hAnsi="Times New Roman"/>
                <w:sz w:val="24"/>
                <w:szCs w:val="24"/>
                <w:lang w:eastAsia="lv-LV"/>
              </w:rPr>
              <w:t xml:space="preserve"> % apmērā no plānotā finansējuma. Par piešķirto finansējumu iegādātas dārzeņu sēkl</w:t>
            </w:r>
            <w:r>
              <w:rPr>
                <w:rFonts w:ascii="Times New Roman" w:hAnsi="Times New Roman"/>
                <w:sz w:val="24"/>
                <w:szCs w:val="24"/>
                <w:lang w:eastAsia="lv-LV"/>
              </w:rPr>
              <w:t>as sīkfasējumā</w:t>
            </w:r>
            <w:r w:rsidRPr="0000255C">
              <w:rPr>
                <w:rFonts w:ascii="Times New Roman" w:hAnsi="Times New Roman"/>
                <w:sz w:val="24"/>
                <w:szCs w:val="24"/>
                <w:lang w:eastAsia="lv-LV"/>
              </w:rPr>
              <w:t xml:space="preserve">  palīgsaimniecības vajadzībām.</w:t>
            </w:r>
          </w:p>
          <w:p w14:paraId="26C3F8E2" w14:textId="77777777" w:rsidR="00F90C30" w:rsidRDefault="00F90C30" w:rsidP="0005335B">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bl>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72B3CDF7" w:rsidR="00C30A09" w:rsidRDefault="00ED23E1" w:rsidP="00EB347E">
      <w:pPr>
        <w:pStyle w:val="naisf"/>
        <w:tabs>
          <w:tab w:val="left" w:pos="6521"/>
        </w:tabs>
        <w:spacing w:before="0" w:after="0"/>
        <w:ind w:firstLine="0"/>
        <w:rPr>
          <w:sz w:val="20"/>
          <w:szCs w:val="20"/>
        </w:rPr>
      </w:pPr>
      <w:r w:rsidRPr="00ED23E1">
        <w:rPr>
          <w:sz w:val="20"/>
          <w:szCs w:val="20"/>
        </w:rPr>
        <w:t>Sagatavoja: Finansists V. Ādama</w:t>
      </w:r>
    </w:p>
    <w:p w14:paraId="64B891E7" w14:textId="77777777" w:rsidR="008E5123" w:rsidRPr="00ED23E1" w:rsidRDefault="008E5123" w:rsidP="00EB347E">
      <w:pPr>
        <w:pStyle w:val="naisf"/>
        <w:tabs>
          <w:tab w:val="left" w:pos="6521"/>
        </w:tabs>
        <w:spacing w:before="0" w:after="0"/>
        <w:ind w:firstLine="0"/>
        <w:rPr>
          <w:sz w:val="20"/>
          <w:szCs w:val="20"/>
        </w:rPr>
      </w:pP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5FAE90EA" w:rsidR="00ED23E1" w:rsidRPr="00D711C2" w:rsidRDefault="003E2E86" w:rsidP="00EB347E">
      <w:pPr>
        <w:pStyle w:val="naisf"/>
        <w:tabs>
          <w:tab w:val="left" w:pos="6521"/>
        </w:tabs>
        <w:spacing w:before="0" w:after="0"/>
        <w:ind w:firstLine="0"/>
        <w:rPr>
          <w:sz w:val="28"/>
          <w:szCs w:val="28"/>
        </w:rPr>
      </w:pPr>
      <w:r>
        <w:rPr>
          <w:sz w:val="20"/>
          <w:szCs w:val="20"/>
        </w:rPr>
        <w:t>0</w:t>
      </w:r>
      <w:r w:rsidR="00462312">
        <w:rPr>
          <w:sz w:val="20"/>
          <w:szCs w:val="20"/>
        </w:rPr>
        <w:t>9</w:t>
      </w:r>
      <w:r w:rsidR="00ED23E1" w:rsidRPr="00ED23E1">
        <w:rPr>
          <w:sz w:val="20"/>
          <w:szCs w:val="20"/>
        </w:rPr>
        <w:t>.</w:t>
      </w:r>
      <w:r w:rsidR="00462312">
        <w:rPr>
          <w:sz w:val="20"/>
          <w:szCs w:val="20"/>
        </w:rPr>
        <w:t>10</w:t>
      </w:r>
      <w:r w:rsidR="00ED23E1" w:rsidRPr="00ED23E1">
        <w:rPr>
          <w:sz w:val="20"/>
          <w:szCs w:val="20"/>
        </w:rPr>
        <w:t>.202</w:t>
      </w:r>
      <w:r>
        <w:rPr>
          <w:sz w:val="20"/>
          <w:szCs w:val="20"/>
        </w:rPr>
        <w:t>5</w:t>
      </w:r>
      <w:r w:rsidR="00ED23E1">
        <w:rPr>
          <w:sz w:val="28"/>
          <w:szCs w:val="28"/>
        </w:rPr>
        <w:t>.</w:t>
      </w:r>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3829" w14:textId="77777777" w:rsidR="007278E9" w:rsidRDefault="007278E9" w:rsidP="00B31666">
      <w:pPr>
        <w:spacing w:after="0" w:line="240" w:lineRule="auto"/>
      </w:pPr>
      <w:r>
        <w:separator/>
      </w:r>
    </w:p>
  </w:endnote>
  <w:endnote w:type="continuationSeparator" w:id="0">
    <w:p w14:paraId="1D7E3F13" w14:textId="77777777" w:rsidR="007278E9" w:rsidRDefault="007278E9"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024A2A" w:rsidRPr="00C30A09" w:rsidRDefault="00024A2A"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5909D" w14:textId="77777777" w:rsidR="007278E9" w:rsidRDefault="007278E9" w:rsidP="00B31666">
      <w:pPr>
        <w:spacing w:after="0" w:line="240" w:lineRule="auto"/>
      </w:pPr>
      <w:r>
        <w:separator/>
      </w:r>
    </w:p>
  </w:footnote>
  <w:footnote w:type="continuationSeparator" w:id="0">
    <w:p w14:paraId="3CA2A502" w14:textId="77777777" w:rsidR="007278E9" w:rsidRDefault="007278E9"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75065C3F" w:rsidR="00024A2A" w:rsidRPr="00C30A09" w:rsidRDefault="00024A2A">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6E1E98">
          <w:rPr>
            <w:rFonts w:ascii="Times New Roman" w:hAnsi="Times New Roman" w:cs="Times New Roman"/>
            <w:noProof/>
            <w:sz w:val="24"/>
            <w:szCs w:val="24"/>
          </w:rPr>
          <w:t>5</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6E34624"/>
    <w:multiLevelType w:val="hybridMultilevel"/>
    <w:tmpl w:val="48ECFA8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9"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0"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E675F0"/>
    <w:multiLevelType w:val="hybridMultilevel"/>
    <w:tmpl w:val="62CA75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8"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5" w15:restartNumberingAfterBreak="0">
    <w:nsid w:val="5FA45599"/>
    <w:multiLevelType w:val="hybridMultilevel"/>
    <w:tmpl w:val="33EE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7" w15:restartNumberingAfterBreak="0">
    <w:nsid w:val="650B2D65"/>
    <w:multiLevelType w:val="hybridMultilevel"/>
    <w:tmpl w:val="63424FCE"/>
    <w:lvl w:ilvl="0" w:tplc="9D880AE6">
      <w:start w:val="1"/>
      <w:numFmt w:val="decimal"/>
      <w:lvlText w:val="%1."/>
      <w:lvlJc w:val="left"/>
      <w:pPr>
        <w:ind w:left="36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5"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4A06D3E"/>
    <w:multiLevelType w:val="hybridMultilevel"/>
    <w:tmpl w:val="7B5843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7"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6"/>
  </w:num>
  <w:num w:numId="3">
    <w:abstractNumId w:val="12"/>
  </w:num>
  <w:num w:numId="4">
    <w:abstractNumId w:val="33"/>
  </w:num>
  <w:num w:numId="5">
    <w:abstractNumId w:val="3"/>
  </w:num>
  <w:num w:numId="6">
    <w:abstractNumId w:val="17"/>
  </w:num>
  <w:num w:numId="7">
    <w:abstractNumId w:val="23"/>
  </w:num>
  <w:num w:numId="8">
    <w:abstractNumId w:val="37"/>
  </w:num>
  <w:num w:numId="9">
    <w:abstractNumId w:val="5"/>
  </w:num>
  <w:num w:numId="10">
    <w:abstractNumId w:val="39"/>
  </w:num>
  <w:num w:numId="11">
    <w:abstractNumId w:val="28"/>
  </w:num>
  <w:num w:numId="12">
    <w:abstractNumId w:val="34"/>
  </w:num>
  <w:num w:numId="13">
    <w:abstractNumId w:val="9"/>
  </w:num>
  <w:num w:numId="14">
    <w:abstractNumId w:val="19"/>
  </w:num>
  <w:num w:numId="15">
    <w:abstractNumId w:val="31"/>
  </w:num>
  <w:num w:numId="16">
    <w:abstractNumId w:val="29"/>
  </w:num>
  <w:num w:numId="17">
    <w:abstractNumId w:val="20"/>
  </w:num>
  <w:num w:numId="18">
    <w:abstractNumId w:val="2"/>
  </w:num>
  <w:num w:numId="19">
    <w:abstractNumId w:val="38"/>
  </w:num>
  <w:num w:numId="20">
    <w:abstractNumId w:val="41"/>
  </w:num>
  <w:num w:numId="21">
    <w:abstractNumId w:val="24"/>
  </w:num>
  <w:num w:numId="22">
    <w:abstractNumId w:val="35"/>
  </w:num>
  <w:num w:numId="23">
    <w:abstractNumId w:val="30"/>
  </w:num>
  <w:num w:numId="24">
    <w:abstractNumId w:val="42"/>
  </w:num>
  <w:num w:numId="25">
    <w:abstractNumId w:val="10"/>
  </w:num>
  <w:num w:numId="26">
    <w:abstractNumId w:val="0"/>
  </w:num>
  <w:num w:numId="27">
    <w:abstractNumId w:val="32"/>
  </w:num>
  <w:num w:numId="28">
    <w:abstractNumId w:val="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40"/>
  </w:num>
  <w:num w:numId="32">
    <w:abstractNumId w:val="8"/>
  </w:num>
  <w:num w:numId="33">
    <w:abstractNumId w:val="26"/>
  </w:num>
  <w:num w:numId="34">
    <w:abstractNumId w:val="22"/>
  </w:num>
  <w:num w:numId="35">
    <w:abstractNumId w:val="15"/>
  </w:num>
  <w:num w:numId="36">
    <w:abstractNumId w:val="13"/>
  </w:num>
  <w:num w:numId="37">
    <w:abstractNumId w:val="27"/>
  </w:num>
  <w:num w:numId="38">
    <w:abstractNumId w:val="21"/>
  </w:num>
  <w:num w:numId="39">
    <w:abstractNumId w:val="16"/>
  </w:num>
  <w:num w:numId="40">
    <w:abstractNumId w:val="7"/>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4"/>
  </w:num>
  <w:num w:numId="45">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4D16"/>
    <w:rsid w:val="00015A03"/>
    <w:rsid w:val="00024A2A"/>
    <w:rsid w:val="00026134"/>
    <w:rsid w:val="0003189A"/>
    <w:rsid w:val="00032891"/>
    <w:rsid w:val="00033C30"/>
    <w:rsid w:val="0003403E"/>
    <w:rsid w:val="0003435C"/>
    <w:rsid w:val="00036427"/>
    <w:rsid w:val="00040009"/>
    <w:rsid w:val="00040628"/>
    <w:rsid w:val="00047E8B"/>
    <w:rsid w:val="00051F92"/>
    <w:rsid w:val="00060073"/>
    <w:rsid w:val="0006421B"/>
    <w:rsid w:val="000662B4"/>
    <w:rsid w:val="00070153"/>
    <w:rsid w:val="00076887"/>
    <w:rsid w:val="00080DD0"/>
    <w:rsid w:val="00083268"/>
    <w:rsid w:val="00083461"/>
    <w:rsid w:val="000862F3"/>
    <w:rsid w:val="00086596"/>
    <w:rsid w:val="000902F8"/>
    <w:rsid w:val="00095D0A"/>
    <w:rsid w:val="00095DA3"/>
    <w:rsid w:val="0009607C"/>
    <w:rsid w:val="000973A4"/>
    <w:rsid w:val="00097952"/>
    <w:rsid w:val="000A31F4"/>
    <w:rsid w:val="000B1069"/>
    <w:rsid w:val="000B2AA0"/>
    <w:rsid w:val="000B499F"/>
    <w:rsid w:val="000B7EBD"/>
    <w:rsid w:val="000D03A6"/>
    <w:rsid w:val="000D0663"/>
    <w:rsid w:val="000D2E20"/>
    <w:rsid w:val="000D4BE0"/>
    <w:rsid w:val="000D5042"/>
    <w:rsid w:val="000D5208"/>
    <w:rsid w:val="000D6A2E"/>
    <w:rsid w:val="000E2F24"/>
    <w:rsid w:val="000E6AE4"/>
    <w:rsid w:val="000F17E8"/>
    <w:rsid w:val="000F7AFF"/>
    <w:rsid w:val="00105123"/>
    <w:rsid w:val="001054A7"/>
    <w:rsid w:val="00106F76"/>
    <w:rsid w:val="00107EBF"/>
    <w:rsid w:val="00107F74"/>
    <w:rsid w:val="0011083F"/>
    <w:rsid w:val="0011124D"/>
    <w:rsid w:val="001120A3"/>
    <w:rsid w:val="00112771"/>
    <w:rsid w:val="00112BCA"/>
    <w:rsid w:val="001149BC"/>
    <w:rsid w:val="00115FE6"/>
    <w:rsid w:val="001160D1"/>
    <w:rsid w:val="001241FE"/>
    <w:rsid w:val="00126092"/>
    <w:rsid w:val="00126776"/>
    <w:rsid w:val="0013014C"/>
    <w:rsid w:val="00130C44"/>
    <w:rsid w:val="00134644"/>
    <w:rsid w:val="001351DD"/>
    <w:rsid w:val="001358BA"/>
    <w:rsid w:val="00136272"/>
    <w:rsid w:val="0013797E"/>
    <w:rsid w:val="00141696"/>
    <w:rsid w:val="00142ADD"/>
    <w:rsid w:val="001470AA"/>
    <w:rsid w:val="0014716E"/>
    <w:rsid w:val="0015073A"/>
    <w:rsid w:val="00150F40"/>
    <w:rsid w:val="0015167C"/>
    <w:rsid w:val="0015335E"/>
    <w:rsid w:val="001534A1"/>
    <w:rsid w:val="00162655"/>
    <w:rsid w:val="0016274F"/>
    <w:rsid w:val="00163434"/>
    <w:rsid w:val="00163700"/>
    <w:rsid w:val="00163A98"/>
    <w:rsid w:val="00164164"/>
    <w:rsid w:val="00167600"/>
    <w:rsid w:val="00167F32"/>
    <w:rsid w:val="00170690"/>
    <w:rsid w:val="00174195"/>
    <w:rsid w:val="00176017"/>
    <w:rsid w:val="0018214E"/>
    <w:rsid w:val="001851EA"/>
    <w:rsid w:val="0019337C"/>
    <w:rsid w:val="00193568"/>
    <w:rsid w:val="00196301"/>
    <w:rsid w:val="00196B73"/>
    <w:rsid w:val="001A211F"/>
    <w:rsid w:val="001A28EC"/>
    <w:rsid w:val="001A2ED9"/>
    <w:rsid w:val="001A64EE"/>
    <w:rsid w:val="001B0183"/>
    <w:rsid w:val="001B0B1D"/>
    <w:rsid w:val="001B7DC1"/>
    <w:rsid w:val="001C00F1"/>
    <w:rsid w:val="001C0F17"/>
    <w:rsid w:val="001C101B"/>
    <w:rsid w:val="001C3286"/>
    <w:rsid w:val="001C35E3"/>
    <w:rsid w:val="001C41C0"/>
    <w:rsid w:val="001C5534"/>
    <w:rsid w:val="001C5848"/>
    <w:rsid w:val="001C6F98"/>
    <w:rsid w:val="001C7614"/>
    <w:rsid w:val="001C7C24"/>
    <w:rsid w:val="001D0800"/>
    <w:rsid w:val="001D3AE6"/>
    <w:rsid w:val="001D5033"/>
    <w:rsid w:val="001D5AC4"/>
    <w:rsid w:val="001D6E4E"/>
    <w:rsid w:val="001E358F"/>
    <w:rsid w:val="001E57AB"/>
    <w:rsid w:val="001E7F19"/>
    <w:rsid w:val="001F1266"/>
    <w:rsid w:val="001F14E2"/>
    <w:rsid w:val="001F1804"/>
    <w:rsid w:val="001F2A1B"/>
    <w:rsid w:val="001F583A"/>
    <w:rsid w:val="001F5BD3"/>
    <w:rsid w:val="001F7F97"/>
    <w:rsid w:val="002003B3"/>
    <w:rsid w:val="00202C34"/>
    <w:rsid w:val="00203D2D"/>
    <w:rsid w:val="00204B35"/>
    <w:rsid w:val="00205CF0"/>
    <w:rsid w:val="00206B98"/>
    <w:rsid w:val="00207FE9"/>
    <w:rsid w:val="00212544"/>
    <w:rsid w:val="0021255B"/>
    <w:rsid w:val="002205D3"/>
    <w:rsid w:val="002218AB"/>
    <w:rsid w:val="002231FD"/>
    <w:rsid w:val="00223D69"/>
    <w:rsid w:val="002265EA"/>
    <w:rsid w:val="00227F03"/>
    <w:rsid w:val="0023186A"/>
    <w:rsid w:val="00233CE5"/>
    <w:rsid w:val="00233D56"/>
    <w:rsid w:val="0023420B"/>
    <w:rsid w:val="00234329"/>
    <w:rsid w:val="002354AB"/>
    <w:rsid w:val="00244B02"/>
    <w:rsid w:val="002456EA"/>
    <w:rsid w:val="00246731"/>
    <w:rsid w:val="00247569"/>
    <w:rsid w:val="002479EF"/>
    <w:rsid w:val="00250FB0"/>
    <w:rsid w:val="0025239F"/>
    <w:rsid w:val="0025454D"/>
    <w:rsid w:val="002579A4"/>
    <w:rsid w:val="0027043D"/>
    <w:rsid w:val="00270544"/>
    <w:rsid w:val="00273758"/>
    <w:rsid w:val="002741F5"/>
    <w:rsid w:val="0028283E"/>
    <w:rsid w:val="00283056"/>
    <w:rsid w:val="00286212"/>
    <w:rsid w:val="00286E74"/>
    <w:rsid w:val="0029075A"/>
    <w:rsid w:val="00292985"/>
    <w:rsid w:val="00294D3B"/>
    <w:rsid w:val="00295062"/>
    <w:rsid w:val="002A13C9"/>
    <w:rsid w:val="002A28C5"/>
    <w:rsid w:val="002A3EF0"/>
    <w:rsid w:val="002A5932"/>
    <w:rsid w:val="002A5C43"/>
    <w:rsid w:val="002A5ECA"/>
    <w:rsid w:val="002A7B15"/>
    <w:rsid w:val="002B0C23"/>
    <w:rsid w:val="002B3DCB"/>
    <w:rsid w:val="002C03E7"/>
    <w:rsid w:val="002C17E3"/>
    <w:rsid w:val="002C1E32"/>
    <w:rsid w:val="002C2FCF"/>
    <w:rsid w:val="002C40A8"/>
    <w:rsid w:val="002C46C5"/>
    <w:rsid w:val="002C4E6F"/>
    <w:rsid w:val="002C7199"/>
    <w:rsid w:val="002C7699"/>
    <w:rsid w:val="002D0E03"/>
    <w:rsid w:val="002D111F"/>
    <w:rsid w:val="002D1ED6"/>
    <w:rsid w:val="002D2DDE"/>
    <w:rsid w:val="002D5B88"/>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B5A"/>
    <w:rsid w:val="00305D24"/>
    <w:rsid w:val="003063FF"/>
    <w:rsid w:val="00306A0A"/>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44B1"/>
    <w:rsid w:val="00354CC9"/>
    <w:rsid w:val="00354E27"/>
    <w:rsid w:val="00367048"/>
    <w:rsid w:val="0036799B"/>
    <w:rsid w:val="00372B61"/>
    <w:rsid w:val="00373FEC"/>
    <w:rsid w:val="00377F28"/>
    <w:rsid w:val="00382665"/>
    <w:rsid w:val="00382B0A"/>
    <w:rsid w:val="0038308E"/>
    <w:rsid w:val="00383DAB"/>
    <w:rsid w:val="00391992"/>
    <w:rsid w:val="00397AEF"/>
    <w:rsid w:val="003A1354"/>
    <w:rsid w:val="003A3506"/>
    <w:rsid w:val="003A4D69"/>
    <w:rsid w:val="003A7081"/>
    <w:rsid w:val="003A70A5"/>
    <w:rsid w:val="003A7B02"/>
    <w:rsid w:val="003B0C7B"/>
    <w:rsid w:val="003B1964"/>
    <w:rsid w:val="003B4F92"/>
    <w:rsid w:val="003C07F0"/>
    <w:rsid w:val="003C25F5"/>
    <w:rsid w:val="003C7463"/>
    <w:rsid w:val="003C7485"/>
    <w:rsid w:val="003D0AC8"/>
    <w:rsid w:val="003D28B5"/>
    <w:rsid w:val="003D2D3A"/>
    <w:rsid w:val="003D576A"/>
    <w:rsid w:val="003D5BD3"/>
    <w:rsid w:val="003D5FCE"/>
    <w:rsid w:val="003D7FA0"/>
    <w:rsid w:val="003E2E86"/>
    <w:rsid w:val="003E33B6"/>
    <w:rsid w:val="003E3FEF"/>
    <w:rsid w:val="003E7CFF"/>
    <w:rsid w:val="003F125A"/>
    <w:rsid w:val="003F241C"/>
    <w:rsid w:val="003F3DE0"/>
    <w:rsid w:val="003F40BF"/>
    <w:rsid w:val="003F4B07"/>
    <w:rsid w:val="003F5B75"/>
    <w:rsid w:val="003F7E05"/>
    <w:rsid w:val="00400EA5"/>
    <w:rsid w:val="0040231D"/>
    <w:rsid w:val="00402B87"/>
    <w:rsid w:val="00403083"/>
    <w:rsid w:val="00407181"/>
    <w:rsid w:val="00407804"/>
    <w:rsid w:val="00410B99"/>
    <w:rsid w:val="00414C13"/>
    <w:rsid w:val="00420047"/>
    <w:rsid w:val="00421B53"/>
    <w:rsid w:val="004231C0"/>
    <w:rsid w:val="004255EB"/>
    <w:rsid w:val="00440AB6"/>
    <w:rsid w:val="00441288"/>
    <w:rsid w:val="00441A16"/>
    <w:rsid w:val="00444091"/>
    <w:rsid w:val="00444461"/>
    <w:rsid w:val="00444EF6"/>
    <w:rsid w:val="00444FEB"/>
    <w:rsid w:val="004513C9"/>
    <w:rsid w:val="00452DF3"/>
    <w:rsid w:val="00453016"/>
    <w:rsid w:val="00454651"/>
    <w:rsid w:val="0045498A"/>
    <w:rsid w:val="00456F31"/>
    <w:rsid w:val="004603CD"/>
    <w:rsid w:val="00461F77"/>
    <w:rsid w:val="00462312"/>
    <w:rsid w:val="00463BEB"/>
    <w:rsid w:val="0046644F"/>
    <w:rsid w:val="00466A13"/>
    <w:rsid w:val="00474AD0"/>
    <w:rsid w:val="00481C2C"/>
    <w:rsid w:val="00482D3F"/>
    <w:rsid w:val="00482D53"/>
    <w:rsid w:val="00485719"/>
    <w:rsid w:val="0048745E"/>
    <w:rsid w:val="004A3188"/>
    <w:rsid w:val="004A3977"/>
    <w:rsid w:val="004A7D3E"/>
    <w:rsid w:val="004B1597"/>
    <w:rsid w:val="004B2A4D"/>
    <w:rsid w:val="004B3A31"/>
    <w:rsid w:val="004B40B6"/>
    <w:rsid w:val="004B6C59"/>
    <w:rsid w:val="004B704B"/>
    <w:rsid w:val="004B7A8D"/>
    <w:rsid w:val="004C074A"/>
    <w:rsid w:val="004C296F"/>
    <w:rsid w:val="004C4DA3"/>
    <w:rsid w:val="004C5122"/>
    <w:rsid w:val="004C5242"/>
    <w:rsid w:val="004C6F28"/>
    <w:rsid w:val="004C707A"/>
    <w:rsid w:val="004D15CE"/>
    <w:rsid w:val="004D3748"/>
    <w:rsid w:val="004D3F32"/>
    <w:rsid w:val="004D4BC7"/>
    <w:rsid w:val="004D630C"/>
    <w:rsid w:val="004D7C4E"/>
    <w:rsid w:val="004E026B"/>
    <w:rsid w:val="004E5706"/>
    <w:rsid w:val="004E60AE"/>
    <w:rsid w:val="004F087A"/>
    <w:rsid w:val="004F1B57"/>
    <w:rsid w:val="004F337B"/>
    <w:rsid w:val="004F5395"/>
    <w:rsid w:val="00502EE0"/>
    <w:rsid w:val="00502F1E"/>
    <w:rsid w:val="0050331A"/>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2B12"/>
    <w:rsid w:val="00543D2F"/>
    <w:rsid w:val="005449DF"/>
    <w:rsid w:val="005456D1"/>
    <w:rsid w:val="00545D68"/>
    <w:rsid w:val="005462CE"/>
    <w:rsid w:val="00546996"/>
    <w:rsid w:val="00547526"/>
    <w:rsid w:val="005531B4"/>
    <w:rsid w:val="005558C3"/>
    <w:rsid w:val="005562F2"/>
    <w:rsid w:val="0056580A"/>
    <w:rsid w:val="00567C27"/>
    <w:rsid w:val="005704B3"/>
    <w:rsid w:val="00571A8F"/>
    <w:rsid w:val="00576758"/>
    <w:rsid w:val="0058011B"/>
    <w:rsid w:val="0058017D"/>
    <w:rsid w:val="00582119"/>
    <w:rsid w:val="00582830"/>
    <w:rsid w:val="0058387A"/>
    <w:rsid w:val="005847C2"/>
    <w:rsid w:val="0058571D"/>
    <w:rsid w:val="005861DE"/>
    <w:rsid w:val="00587D4A"/>
    <w:rsid w:val="0059228A"/>
    <w:rsid w:val="00592538"/>
    <w:rsid w:val="00596427"/>
    <w:rsid w:val="00597BF1"/>
    <w:rsid w:val="005A0023"/>
    <w:rsid w:val="005A41BE"/>
    <w:rsid w:val="005A5140"/>
    <w:rsid w:val="005A713C"/>
    <w:rsid w:val="005A7C88"/>
    <w:rsid w:val="005B4E2F"/>
    <w:rsid w:val="005B7D46"/>
    <w:rsid w:val="005B7DE7"/>
    <w:rsid w:val="005C05C5"/>
    <w:rsid w:val="005C13B9"/>
    <w:rsid w:val="005C24F3"/>
    <w:rsid w:val="005C2BB3"/>
    <w:rsid w:val="005C5281"/>
    <w:rsid w:val="005C64FC"/>
    <w:rsid w:val="005D0C51"/>
    <w:rsid w:val="005D11DC"/>
    <w:rsid w:val="005D34BC"/>
    <w:rsid w:val="005D3B69"/>
    <w:rsid w:val="005E2D6D"/>
    <w:rsid w:val="005E35FB"/>
    <w:rsid w:val="005E3AE6"/>
    <w:rsid w:val="005E3FEC"/>
    <w:rsid w:val="005E5F49"/>
    <w:rsid w:val="005E6A04"/>
    <w:rsid w:val="005F4120"/>
    <w:rsid w:val="005F5C20"/>
    <w:rsid w:val="005F5E3F"/>
    <w:rsid w:val="00601E40"/>
    <w:rsid w:val="006059E0"/>
    <w:rsid w:val="00607CF8"/>
    <w:rsid w:val="006126DC"/>
    <w:rsid w:val="00614E00"/>
    <w:rsid w:val="006162CE"/>
    <w:rsid w:val="0063153A"/>
    <w:rsid w:val="006371E4"/>
    <w:rsid w:val="0064223C"/>
    <w:rsid w:val="00644205"/>
    <w:rsid w:val="00646AF0"/>
    <w:rsid w:val="006477A9"/>
    <w:rsid w:val="00651FAC"/>
    <w:rsid w:val="00655D47"/>
    <w:rsid w:val="00655D52"/>
    <w:rsid w:val="006564FD"/>
    <w:rsid w:val="00657530"/>
    <w:rsid w:val="00657C37"/>
    <w:rsid w:val="00661375"/>
    <w:rsid w:val="00662367"/>
    <w:rsid w:val="0066342D"/>
    <w:rsid w:val="00666787"/>
    <w:rsid w:val="006707CF"/>
    <w:rsid w:val="00670C97"/>
    <w:rsid w:val="006712CE"/>
    <w:rsid w:val="006756A5"/>
    <w:rsid w:val="00677525"/>
    <w:rsid w:val="006775EF"/>
    <w:rsid w:val="006808C9"/>
    <w:rsid w:val="006823EE"/>
    <w:rsid w:val="0068248E"/>
    <w:rsid w:val="00683DAF"/>
    <w:rsid w:val="006862BD"/>
    <w:rsid w:val="006876CD"/>
    <w:rsid w:val="006923E9"/>
    <w:rsid w:val="00695A72"/>
    <w:rsid w:val="00695F84"/>
    <w:rsid w:val="006971BE"/>
    <w:rsid w:val="006A029F"/>
    <w:rsid w:val="006A2FC0"/>
    <w:rsid w:val="006A36CC"/>
    <w:rsid w:val="006A4679"/>
    <w:rsid w:val="006A4C6F"/>
    <w:rsid w:val="006B0DAD"/>
    <w:rsid w:val="006B2E30"/>
    <w:rsid w:val="006B4630"/>
    <w:rsid w:val="006B4999"/>
    <w:rsid w:val="006B4D66"/>
    <w:rsid w:val="006B66F3"/>
    <w:rsid w:val="006B6787"/>
    <w:rsid w:val="006B7A66"/>
    <w:rsid w:val="006B7C02"/>
    <w:rsid w:val="006C12F0"/>
    <w:rsid w:val="006C2A85"/>
    <w:rsid w:val="006C2C85"/>
    <w:rsid w:val="006C38F3"/>
    <w:rsid w:val="006C714A"/>
    <w:rsid w:val="006C7695"/>
    <w:rsid w:val="006D0212"/>
    <w:rsid w:val="006D14DC"/>
    <w:rsid w:val="006D33A7"/>
    <w:rsid w:val="006D39ED"/>
    <w:rsid w:val="006D411A"/>
    <w:rsid w:val="006D6572"/>
    <w:rsid w:val="006D6A24"/>
    <w:rsid w:val="006E1E98"/>
    <w:rsid w:val="006E7053"/>
    <w:rsid w:val="006E7877"/>
    <w:rsid w:val="006F0BC6"/>
    <w:rsid w:val="006F3C95"/>
    <w:rsid w:val="006F731F"/>
    <w:rsid w:val="00702B55"/>
    <w:rsid w:val="00704714"/>
    <w:rsid w:val="00710F7D"/>
    <w:rsid w:val="0071481A"/>
    <w:rsid w:val="00715520"/>
    <w:rsid w:val="007171BA"/>
    <w:rsid w:val="007206CB"/>
    <w:rsid w:val="007208F5"/>
    <w:rsid w:val="0072118F"/>
    <w:rsid w:val="00722B1E"/>
    <w:rsid w:val="00722BFD"/>
    <w:rsid w:val="0072466B"/>
    <w:rsid w:val="007278E9"/>
    <w:rsid w:val="007311BB"/>
    <w:rsid w:val="00731354"/>
    <w:rsid w:val="00732A96"/>
    <w:rsid w:val="00736691"/>
    <w:rsid w:val="00737B5F"/>
    <w:rsid w:val="00742672"/>
    <w:rsid w:val="00745C41"/>
    <w:rsid w:val="00750688"/>
    <w:rsid w:val="00750B74"/>
    <w:rsid w:val="0075207E"/>
    <w:rsid w:val="0075680C"/>
    <w:rsid w:val="00756B1B"/>
    <w:rsid w:val="007608AB"/>
    <w:rsid w:val="007616A4"/>
    <w:rsid w:val="00764110"/>
    <w:rsid w:val="00764298"/>
    <w:rsid w:val="00765F2A"/>
    <w:rsid w:val="0076659A"/>
    <w:rsid w:val="00770CA2"/>
    <w:rsid w:val="00771923"/>
    <w:rsid w:val="0077302B"/>
    <w:rsid w:val="00773FC1"/>
    <w:rsid w:val="00775B39"/>
    <w:rsid w:val="00780842"/>
    <w:rsid w:val="00782B6A"/>
    <w:rsid w:val="0078464A"/>
    <w:rsid w:val="00785A76"/>
    <w:rsid w:val="00787CE8"/>
    <w:rsid w:val="0079043A"/>
    <w:rsid w:val="00790F48"/>
    <w:rsid w:val="00791E01"/>
    <w:rsid w:val="00793F0D"/>
    <w:rsid w:val="00794350"/>
    <w:rsid w:val="00795135"/>
    <w:rsid w:val="007A0CC9"/>
    <w:rsid w:val="007A398D"/>
    <w:rsid w:val="007A635C"/>
    <w:rsid w:val="007A7009"/>
    <w:rsid w:val="007A7F79"/>
    <w:rsid w:val="007B2A95"/>
    <w:rsid w:val="007B59DF"/>
    <w:rsid w:val="007B5A36"/>
    <w:rsid w:val="007B5ECF"/>
    <w:rsid w:val="007B6641"/>
    <w:rsid w:val="007C0433"/>
    <w:rsid w:val="007C461C"/>
    <w:rsid w:val="007C4B3D"/>
    <w:rsid w:val="007C4BD7"/>
    <w:rsid w:val="007D15B1"/>
    <w:rsid w:val="007D205E"/>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6636"/>
    <w:rsid w:val="00803846"/>
    <w:rsid w:val="00804647"/>
    <w:rsid w:val="008057AE"/>
    <w:rsid w:val="00812573"/>
    <w:rsid w:val="00814700"/>
    <w:rsid w:val="0081535F"/>
    <w:rsid w:val="00816442"/>
    <w:rsid w:val="008165B2"/>
    <w:rsid w:val="00820CB9"/>
    <w:rsid w:val="00820D2E"/>
    <w:rsid w:val="00824BF8"/>
    <w:rsid w:val="00825D3C"/>
    <w:rsid w:val="008265CA"/>
    <w:rsid w:val="00830B8F"/>
    <w:rsid w:val="00832BDE"/>
    <w:rsid w:val="00833800"/>
    <w:rsid w:val="00833954"/>
    <w:rsid w:val="0083460D"/>
    <w:rsid w:val="008347B2"/>
    <w:rsid w:val="0083589B"/>
    <w:rsid w:val="00840CB8"/>
    <w:rsid w:val="0084240C"/>
    <w:rsid w:val="008427BE"/>
    <w:rsid w:val="00842C75"/>
    <w:rsid w:val="00845626"/>
    <w:rsid w:val="008470CB"/>
    <w:rsid w:val="00851C89"/>
    <w:rsid w:val="00853D41"/>
    <w:rsid w:val="00854274"/>
    <w:rsid w:val="00856CBB"/>
    <w:rsid w:val="00862320"/>
    <w:rsid w:val="008658EE"/>
    <w:rsid w:val="00867C71"/>
    <w:rsid w:val="008774DC"/>
    <w:rsid w:val="008809FA"/>
    <w:rsid w:val="0088158C"/>
    <w:rsid w:val="0088253F"/>
    <w:rsid w:val="00886BCE"/>
    <w:rsid w:val="0089030B"/>
    <w:rsid w:val="00891ECC"/>
    <w:rsid w:val="00892D41"/>
    <w:rsid w:val="00894B53"/>
    <w:rsid w:val="00895C12"/>
    <w:rsid w:val="008A0286"/>
    <w:rsid w:val="008A3430"/>
    <w:rsid w:val="008A5322"/>
    <w:rsid w:val="008B3B20"/>
    <w:rsid w:val="008B4D84"/>
    <w:rsid w:val="008B5556"/>
    <w:rsid w:val="008B7B34"/>
    <w:rsid w:val="008C24A5"/>
    <w:rsid w:val="008C3F12"/>
    <w:rsid w:val="008C494B"/>
    <w:rsid w:val="008C671B"/>
    <w:rsid w:val="008C7322"/>
    <w:rsid w:val="008D07A6"/>
    <w:rsid w:val="008D6E57"/>
    <w:rsid w:val="008E014B"/>
    <w:rsid w:val="008E2287"/>
    <w:rsid w:val="008E3E13"/>
    <w:rsid w:val="008E41DB"/>
    <w:rsid w:val="008E5123"/>
    <w:rsid w:val="008E54E8"/>
    <w:rsid w:val="008F0513"/>
    <w:rsid w:val="008F3F34"/>
    <w:rsid w:val="008F4F71"/>
    <w:rsid w:val="00901648"/>
    <w:rsid w:val="00902639"/>
    <w:rsid w:val="00904C58"/>
    <w:rsid w:val="009051E7"/>
    <w:rsid w:val="0091005E"/>
    <w:rsid w:val="009102BF"/>
    <w:rsid w:val="00913FF0"/>
    <w:rsid w:val="00916756"/>
    <w:rsid w:val="009171D0"/>
    <w:rsid w:val="00917CBD"/>
    <w:rsid w:val="0092360C"/>
    <w:rsid w:val="00924529"/>
    <w:rsid w:val="00924B7A"/>
    <w:rsid w:val="00925E88"/>
    <w:rsid w:val="00927DA6"/>
    <w:rsid w:val="00930969"/>
    <w:rsid w:val="00930D00"/>
    <w:rsid w:val="009314A2"/>
    <w:rsid w:val="0093429A"/>
    <w:rsid w:val="009346D9"/>
    <w:rsid w:val="00937DCA"/>
    <w:rsid w:val="009409B5"/>
    <w:rsid w:val="009419E0"/>
    <w:rsid w:val="009474BB"/>
    <w:rsid w:val="009500B2"/>
    <w:rsid w:val="009536D5"/>
    <w:rsid w:val="009538C2"/>
    <w:rsid w:val="009541E6"/>
    <w:rsid w:val="00955C0B"/>
    <w:rsid w:val="00956596"/>
    <w:rsid w:val="009609F2"/>
    <w:rsid w:val="00960C74"/>
    <w:rsid w:val="00962203"/>
    <w:rsid w:val="00962D38"/>
    <w:rsid w:val="00963816"/>
    <w:rsid w:val="009652B6"/>
    <w:rsid w:val="00965884"/>
    <w:rsid w:val="009678A3"/>
    <w:rsid w:val="00967A97"/>
    <w:rsid w:val="00967B48"/>
    <w:rsid w:val="00967F61"/>
    <w:rsid w:val="0097220D"/>
    <w:rsid w:val="00972250"/>
    <w:rsid w:val="00973B19"/>
    <w:rsid w:val="0097568D"/>
    <w:rsid w:val="00976F2B"/>
    <w:rsid w:val="00977058"/>
    <w:rsid w:val="00981428"/>
    <w:rsid w:val="00983225"/>
    <w:rsid w:val="0098422D"/>
    <w:rsid w:val="00985646"/>
    <w:rsid w:val="00991879"/>
    <w:rsid w:val="00992C4C"/>
    <w:rsid w:val="0099465A"/>
    <w:rsid w:val="009952FD"/>
    <w:rsid w:val="00995E6A"/>
    <w:rsid w:val="00996573"/>
    <w:rsid w:val="0099658B"/>
    <w:rsid w:val="00996DD5"/>
    <w:rsid w:val="009A4E37"/>
    <w:rsid w:val="009B2498"/>
    <w:rsid w:val="009B2880"/>
    <w:rsid w:val="009B44F1"/>
    <w:rsid w:val="009B5246"/>
    <w:rsid w:val="009B6895"/>
    <w:rsid w:val="009B6AB1"/>
    <w:rsid w:val="009B765E"/>
    <w:rsid w:val="009C245D"/>
    <w:rsid w:val="009D051B"/>
    <w:rsid w:val="009D1E93"/>
    <w:rsid w:val="009D3500"/>
    <w:rsid w:val="009D59B3"/>
    <w:rsid w:val="009D6361"/>
    <w:rsid w:val="009E5ACB"/>
    <w:rsid w:val="009E791B"/>
    <w:rsid w:val="009E7EEB"/>
    <w:rsid w:val="009F04FA"/>
    <w:rsid w:val="009F1FA4"/>
    <w:rsid w:val="009F237B"/>
    <w:rsid w:val="009F2F13"/>
    <w:rsid w:val="009F39F7"/>
    <w:rsid w:val="009F7855"/>
    <w:rsid w:val="00A02681"/>
    <w:rsid w:val="00A03241"/>
    <w:rsid w:val="00A064CC"/>
    <w:rsid w:val="00A06B8E"/>
    <w:rsid w:val="00A11980"/>
    <w:rsid w:val="00A1409F"/>
    <w:rsid w:val="00A164AB"/>
    <w:rsid w:val="00A2397D"/>
    <w:rsid w:val="00A24C7A"/>
    <w:rsid w:val="00A275CE"/>
    <w:rsid w:val="00A42D78"/>
    <w:rsid w:val="00A430F4"/>
    <w:rsid w:val="00A4336B"/>
    <w:rsid w:val="00A463C6"/>
    <w:rsid w:val="00A46B27"/>
    <w:rsid w:val="00A46F6D"/>
    <w:rsid w:val="00A50F90"/>
    <w:rsid w:val="00A51249"/>
    <w:rsid w:val="00A51795"/>
    <w:rsid w:val="00A52069"/>
    <w:rsid w:val="00A53094"/>
    <w:rsid w:val="00A5346C"/>
    <w:rsid w:val="00A537AA"/>
    <w:rsid w:val="00A53F3B"/>
    <w:rsid w:val="00A56A17"/>
    <w:rsid w:val="00A571A1"/>
    <w:rsid w:val="00A6367F"/>
    <w:rsid w:val="00A64322"/>
    <w:rsid w:val="00A6511B"/>
    <w:rsid w:val="00A70DEB"/>
    <w:rsid w:val="00A73BA2"/>
    <w:rsid w:val="00A74041"/>
    <w:rsid w:val="00A74293"/>
    <w:rsid w:val="00A756E5"/>
    <w:rsid w:val="00A77D1B"/>
    <w:rsid w:val="00A80A79"/>
    <w:rsid w:val="00A83526"/>
    <w:rsid w:val="00A91DAD"/>
    <w:rsid w:val="00A91DB0"/>
    <w:rsid w:val="00A93F20"/>
    <w:rsid w:val="00A96C36"/>
    <w:rsid w:val="00A97D8A"/>
    <w:rsid w:val="00AA0F33"/>
    <w:rsid w:val="00AA0F73"/>
    <w:rsid w:val="00AA2E90"/>
    <w:rsid w:val="00AA3B7C"/>
    <w:rsid w:val="00AA4760"/>
    <w:rsid w:val="00AA4C6C"/>
    <w:rsid w:val="00AA703D"/>
    <w:rsid w:val="00AB4E51"/>
    <w:rsid w:val="00AB632B"/>
    <w:rsid w:val="00AB73E6"/>
    <w:rsid w:val="00AC7287"/>
    <w:rsid w:val="00AC7DFA"/>
    <w:rsid w:val="00AC7E1F"/>
    <w:rsid w:val="00AD04B5"/>
    <w:rsid w:val="00AD1460"/>
    <w:rsid w:val="00AD1E0B"/>
    <w:rsid w:val="00AD574E"/>
    <w:rsid w:val="00AD6348"/>
    <w:rsid w:val="00AD65AB"/>
    <w:rsid w:val="00AE5C00"/>
    <w:rsid w:val="00AE670F"/>
    <w:rsid w:val="00AF37CF"/>
    <w:rsid w:val="00AF552E"/>
    <w:rsid w:val="00B006A3"/>
    <w:rsid w:val="00B009E4"/>
    <w:rsid w:val="00B01BE2"/>
    <w:rsid w:val="00B03AF8"/>
    <w:rsid w:val="00B13278"/>
    <w:rsid w:val="00B141B0"/>
    <w:rsid w:val="00B17D1F"/>
    <w:rsid w:val="00B2413D"/>
    <w:rsid w:val="00B24FA7"/>
    <w:rsid w:val="00B27E1B"/>
    <w:rsid w:val="00B30609"/>
    <w:rsid w:val="00B30BA6"/>
    <w:rsid w:val="00B31666"/>
    <w:rsid w:val="00B352F5"/>
    <w:rsid w:val="00B35C01"/>
    <w:rsid w:val="00B35F94"/>
    <w:rsid w:val="00B41620"/>
    <w:rsid w:val="00B43EE4"/>
    <w:rsid w:val="00B442AC"/>
    <w:rsid w:val="00B51711"/>
    <w:rsid w:val="00B5194A"/>
    <w:rsid w:val="00B531AF"/>
    <w:rsid w:val="00B54DAB"/>
    <w:rsid w:val="00B56A31"/>
    <w:rsid w:val="00B60F4C"/>
    <w:rsid w:val="00B61246"/>
    <w:rsid w:val="00B62247"/>
    <w:rsid w:val="00B6311B"/>
    <w:rsid w:val="00B65364"/>
    <w:rsid w:val="00B72756"/>
    <w:rsid w:val="00B83DCD"/>
    <w:rsid w:val="00B845A9"/>
    <w:rsid w:val="00B85B31"/>
    <w:rsid w:val="00B85B94"/>
    <w:rsid w:val="00B93E8F"/>
    <w:rsid w:val="00B96D6A"/>
    <w:rsid w:val="00BA0D2F"/>
    <w:rsid w:val="00BA1631"/>
    <w:rsid w:val="00BA1EA7"/>
    <w:rsid w:val="00BA2ADA"/>
    <w:rsid w:val="00BA6358"/>
    <w:rsid w:val="00BA69F0"/>
    <w:rsid w:val="00BA69FD"/>
    <w:rsid w:val="00BB036D"/>
    <w:rsid w:val="00BB10D5"/>
    <w:rsid w:val="00BB1AF9"/>
    <w:rsid w:val="00BB474C"/>
    <w:rsid w:val="00BB4F8E"/>
    <w:rsid w:val="00BB7406"/>
    <w:rsid w:val="00BC2E3A"/>
    <w:rsid w:val="00BC3B24"/>
    <w:rsid w:val="00BC5CE0"/>
    <w:rsid w:val="00BC68F5"/>
    <w:rsid w:val="00BC7B43"/>
    <w:rsid w:val="00BD0D29"/>
    <w:rsid w:val="00BD16A8"/>
    <w:rsid w:val="00BD1F16"/>
    <w:rsid w:val="00BD4050"/>
    <w:rsid w:val="00BE1016"/>
    <w:rsid w:val="00BE39E3"/>
    <w:rsid w:val="00BF0B63"/>
    <w:rsid w:val="00C04456"/>
    <w:rsid w:val="00C07541"/>
    <w:rsid w:val="00C11A5C"/>
    <w:rsid w:val="00C13BF1"/>
    <w:rsid w:val="00C148D7"/>
    <w:rsid w:val="00C17F64"/>
    <w:rsid w:val="00C21329"/>
    <w:rsid w:val="00C21784"/>
    <w:rsid w:val="00C23A82"/>
    <w:rsid w:val="00C23FEF"/>
    <w:rsid w:val="00C260A7"/>
    <w:rsid w:val="00C300B2"/>
    <w:rsid w:val="00C30A09"/>
    <w:rsid w:val="00C350EF"/>
    <w:rsid w:val="00C3708E"/>
    <w:rsid w:val="00C370FB"/>
    <w:rsid w:val="00C372B0"/>
    <w:rsid w:val="00C37944"/>
    <w:rsid w:val="00C46EBA"/>
    <w:rsid w:val="00C46EC2"/>
    <w:rsid w:val="00C50652"/>
    <w:rsid w:val="00C50ADF"/>
    <w:rsid w:val="00C535E4"/>
    <w:rsid w:val="00C5419E"/>
    <w:rsid w:val="00C6379D"/>
    <w:rsid w:val="00C653F8"/>
    <w:rsid w:val="00C73149"/>
    <w:rsid w:val="00C7316A"/>
    <w:rsid w:val="00C74AC4"/>
    <w:rsid w:val="00C75700"/>
    <w:rsid w:val="00C75BB6"/>
    <w:rsid w:val="00C760FC"/>
    <w:rsid w:val="00C770AC"/>
    <w:rsid w:val="00C8091E"/>
    <w:rsid w:val="00C813DF"/>
    <w:rsid w:val="00C838CD"/>
    <w:rsid w:val="00C841CB"/>
    <w:rsid w:val="00C86BB2"/>
    <w:rsid w:val="00C8752B"/>
    <w:rsid w:val="00C876C3"/>
    <w:rsid w:val="00C91440"/>
    <w:rsid w:val="00C92A3C"/>
    <w:rsid w:val="00C92B12"/>
    <w:rsid w:val="00C93460"/>
    <w:rsid w:val="00C953B8"/>
    <w:rsid w:val="00C95C1E"/>
    <w:rsid w:val="00CA285C"/>
    <w:rsid w:val="00CA3C54"/>
    <w:rsid w:val="00CA45AD"/>
    <w:rsid w:val="00CA4906"/>
    <w:rsid w:val="00CB20F9"/>
    <w:rsid w:val="00CB2DB9"/>
    <w:rsid w:val="00CB3CCD"/>
    <w:rsid w:val="00CB679B"/>
    <w:rsid w:val="00CB7F57"/>
    <w:rsid w:val="00CC1C52"/>
    <w:rsid w:val="00CC23B9"/>
    <w:rsid w:val="00CC2ECF"/>
    <w:rsid w:val="00CC77D5"/>
    <w:rsid w:val="00CC7FB9"/>
    <w:rsid w:val="00CD0DA7"/>
    <w:rsid w:val="00CD2D7E"/>
    <w:rsid w:val="00CD3EE3"/>
    <w:rsid w:val="00CD54D8"/>
    <w:rsid w:val="00CD6E9E"/>
    <w:rsid w:val="00CE0228"/>
    <w:rsid w:val="00CE395C"/>
    <w:rsid w:val="00CE3971"/>
    <w:rsid w:val="00CE439D"/>
    <w:rsid w:val="00CE630D"/>
    <w:rsid w:val="00CE7674"/>
    <w:rsid w:val="00CF2B4A"/>
    <w:rsid w:val="00CF3837"/>
    <w:rsid w:val="00CF68B0"/>
    <w:rsid w:val="00CF6BF5"/>
    <w:rsid w:val="00D02C0B"/>
    <w:rsid w:val="00D046BD"/>
    <w:rsid w:val="00D05218"/>
    <w:rsid w:val="00D118DF"/>
    <w:rsid w:val="00D13F9C"/>
    <w:rsid w:val="00D140A2"/>
    <w:rsid w:val="00D1464B"/>
    <w:rsid w:val="00D16934"/>
    <w:rsid w:val="00D16C1D"/>
    <w:rsid w:val="00D16DC4"/>
    <w:rsid w:val="00D17DB4"/>
    <w:rsid w:val="00D214C8"/>
    <w:rsid w:val="00D233DD"/>
    <w:rsid w:val="00D23D1E"/>
    <w:rsid w:val="00D23F66"/>
    <w:rsid w:val="00D26C56"/>
    <w:rsid w:val="00D341B6"/>
    <w:rsid w:val="00D34D1D"/>
    <w:rsid w:val="00D41098"/>
    <w:rsid w:val="00D46278"/>
    <w:rsid w:val="00D475E4"/>
    <w:rsid w:val="00D511AE"/>
    <w:rsid w:val="00D52230"/>
    <w:rsid w:val="00D5361C"/>
    <w:rsid w:val="00D5385D"/>
    <w:rsid w:val="00D54605"/>
    <w:rsid w:val="00D562ED"/>
    <w:rsid w:val="00D57486"/>
    <w:rsid w:val="00D6077D"/>
    <w:rsid w:val="00D61CD5"/>
    <w:rsid w:val="00D64A31"/>
    <w:rsid w:val="00D64F61"/>
    <w:rsid w:val="00D67BF1"/>
    <w:rsid w:val="00D776F9"/>
    <w:rsid w:val="00D80B0E"/>
    <w:rsid w:val="00D81456"/>
    <w:rsid w:val="00D8353A"/>
    <w:rsid w:val="00D86EEA"/>
    <w:rsid w:val="00D87029"/>
    <w:rsid w:val="00D87FD3"/>
    <w:rsid w:val="00D90F06"/>
    <w:rsid w:val="00D94998"/>
    <w:rsid w:val="00D94BDF"/>
    <w:rsid w:val="00D95625"/>
    <w:rsid w:val="00D96FEA"/>
    <w:rsid w:val="00D97905"/>
    <w:rsid w:val="00DA308C"/>
    <w:rsid w:val="00DA46BA"/>
    <w:rsid w:val="00DA5248"/>
    <w:rsid w:val="00DA69EA"/>
    <w:rsid w:val="00DB0CD4"/>
    <w:rsid w:val="00DB2947"/>
    <w:rsid w:val="00DB6C96"/>
    <w:rsid w:val="00DB7C42"/>
    <w:rsid w:val="00DC224B"/>
    <w:rsid w:val="00DC3075"/>
    <w:rsid w:val="00DC4401"/>
    <w:rsid w:val="00DD1C39"/>
    <w:rsid w:val="00DD2A31"/>
    <w:rsid w:val="00DD4ADA"/>
    <w:rsid w:val="00DD5A5F"/>
    <w:rsid w:val="00DD69AA"/>
    <w:rsid w:val="00DD7AB9"/>
    <w:rsid w:val="00DE08CF"/>
    <w:rsid w:val="00DE2EB1"/>
    <w:rsid w:val="00DE30A9"/>
    <w:rsid w:val="00DE6EEC"/>
    <w:rsid w:val="00DF19F1"/>
    <w:rsid w:val="00DF3DF5"/>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629B"/>
    <w:rsid w:val="00E16FC9"/>
    <w:rsid w:val="00E2166E"/>
    <w:rsid w:val="00E21C5F"/>
    <w:rsid w:val="00E2222B"/>
    <w:rsid w:val="00E229D1"/>
    <w:rsid w:val="00E239BC"/>
    <w:rsid w:val="00E268BC"/>
    <w:rsid w:val="00E3130A"/>
    <w:rsid w:val="00E32139"/>
    <w:rsid w:val="00E328FF"/>
    <w:rsid w:val="00E346BF"/>
    <w:rsid w:val="00E368EA"/>
    <w:rsid w:val="00E400C6"/>
    <w:rsid w:val="00E4192C"/>
    <w:rsid w:val="00E45F3A"/>
    <w:rsid w:val="00E528BB"/>
    <w:rsid w:val="00E55C7B"/>
    <w:rsid w:val="00E619FC"/>
    <w:rsid w:val="00E61BDC"/>
    <w:rsid w:val="00E655E4"/>
    <w:rsid w:val="00E6577A"/>
    <w:rsid w:val="00E66A84"/>
    <w:rsid w:val="00E7315A"/>
    <w:rsid w:val="00E7460E"/>
    <w:rsid w:val="00E75C30"/>
    <w:rsid w:val="00E76760"/>
    <w:rsid w:val="00E80B75"/>
    <w:rsid w:val="00E8273F"/>
    <w:rsid w:val="00E85271"/>
    <w:rsid w:val="00E86145"/>
    <w:rsid w:val="00E868C8"/>
    <w:rsid w:val="00E86C96"/>
    <w:rsid w:val="00E86FB0"/>
    <w:rsid w:val="00E87F6E"/>
    <w:rsid w:val="00E912E8"/>
    <w:rsid w:val="00E925A7"/>
    <w:rsid w:val="00E941DD"/>
    <w:rsid w:val="00E96386"/>
    <w:rsid w:val="00EA0893"/>
    <w:rsid w:val="00EA0E5C"/>
    <w:rsid w:val="00EA1174"/>
    <w:rsid w:val="00EA2FAC"/>
    <w:rsid w:val="00EA5E14"/>
    <w:rsid w:val="00EB03DF"/>
    <w:rsid w:val="00EB060D"/>
    <w:rsid w:val="00EB347E"/>
    <w:rsid w:val="00EB4226"/>
    <w:rsid w:val="00EB525B"/>
    <w:rsid w:val="00EC209E"/>
    <w:rsid w:val="00EC38AA"/>
    <w:rsid w:val="00EC71B4"/>
    <w:rsid w:val="00EC7829"/>
    <w:rsid w:val="00ED23E1"/>
    <w:rsid w:val="00ED2797"/>
    <w:rsid w:val="00ED3A39"/>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304EB"/>
    <w:rsid w:val="00F3338F"/>
    <w:rsid w:val="00F34479"/>
    <w:rsid w:val="00F34BE5"/>
    <w:rsid w:val="00F34C75"/>
    <w:rsid w:val="00F352A6"/>
    <w:rsid w:val="00F3536F"/>
    <w:rsid w:val="00F41207"/>
    <w:rsid w:val="00F50A47"/>
    <w:rsid w:val="00F52FD6"/>
    <w:rsid w:val="00F53D66"/>
    <w:rsid w:val="00F54B42"/>
    <w:rsid w:val="00F54B8A"/>
    <w:rsid w:val="00F55C8A"/>
    <w:rsid w:val="00F64589"/>
    <w:rsid w:val="00F671D8"/>
    <w:rsid w:val="00F723F7"/>
    <w:rsid w:val="00F74F73"/>
    <w:rsid w:val="00F7686E"/>
    <w:rsid w:val="00F777F8"/>
    <w:rsid w:val="00F80EE2"/>
    <w:rsid w:val="00F811B8"/>
    <w:rsid w:val="00F815D6"/>
    <w:rsid w:val="00F84F7A"/>
    <w:rsid w:val="00F903C4"/>
    <w:rsid w:val="00F90C30"/>
    <w:rsid w:val="00F91AFA"/>
    <w:rsid w:val="00F93ADE"/>
    <w:rsid w:val="00F977CE"/>
    <w:rsid w:val="00FA48D3"/>
    <w:rsid w:val="00FA510A"/>
    <w:rsid w:val="00FA5115"/>
    <w:rsid w:val="00FA53E5"/>
    <w:rsid w:val="00FB38E5"/>
    <w:rsid w:val="00FB44E6"/>
    <w:rsid w:val="00FB4F26"/>
    <w:rsid w:val="00FB6AF7"/>
    <w:rsid w:val="00FB6FA5"/>
    <w:rsid w:val="00FC20AD"/>
    <w:rsid w:val="00FC26D7"/>
    <w:rsid w:val="00FC30EF"/>
    <w:rsid w:val="00FC4C36"/>
    <w:rsid w:val="00FC6826"/>
    <w:rsid w:val="00FC757E"/>
    <w:rsid w:val="00FD0FA6"/>
    <w:rsid w:val="00FD5F0A"/>
    <w:rsid w:val="00FD6473"/>
    <w:rsid w:val="00FE099F"/>
    <w:rsid w:val="00FE127E"/>
    <w:rsid w:val="00FE1C65"/>
    <w:rsid w:val="00FE2AB9"/>
    <w:rsid w:val="00FF13DD"/>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134519660">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3E35-10F4-4068-8A13-26B003E2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1189</Words>
  <Characters>6780</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21</cp:revision>
  <cp:lastPrinted>2018-05-28T05:35:00Z</cp:lastPrinted>
  <dcterms:created xsi:type="dcterms:W3CDTF">2025-10-09T08:15:00Z</dcterms:created>
  <dcterms:modified xsi:type="dcterms:W3CDTF">2025-10-09T11:32:00Z</dcterms:modified>
</cp:coreProperties>
</file>