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A4BB" w14:textId="5DC59F56" w:rsidR="00B31666" w:rsidRPr="00C30A09" w:rsidRDefault="00C30A09" w:rsidP="00C30A09">
      <w:pPr>
        <w:pStyle w:val="ListParagraph"/>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1</w:t>
      </w:r>
      <w:r w:rsidR="002D73A4">
        <w:rPr>
          <w:rFonts w:ascii="Times New Roman" w:hAnsi="Times New Roman" w:cs="Times New Roman"/>
          <w:sz w:val="28"/>
          <w:szCs w:val="28"/>
        </w:rPr>
        <w:t>. </w:t>
      </w:r>
      <w:r w:rsidR="001D0800" w:rsidRPr="00C30A09">
        <w:rPr>
          <w:rFonts w:ascii="Times New Roman" w:hAnsi="Times New Roman" w:cs="Times New Roman"/>
          <w:sz w:val="28"/>
          <w:szCs w:val="28"/>
        </w:rPr>
        <w:t>pielikums</w:t>
      </w:r>
    </w:p>
    <w:p w14:paraId="27D3830F" w14:textId="77777777" w:rsidR="001D0800" w:rsidRPr="00C30A09" w:rsidRDefault="001D0800" w:rsidP="00C30A09">
      <w:pPr>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Ministru kabineta</w:t>
      </w:r>
    </w:p>
    <w:p w14:paraId="5125EF22" w14:textId="0E5AE1CE"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2018</w:t>
      </w:r>
      <w:r w:rsidR="002D73A4">
        <w:rPr>
          <w:rFonts w:ascii="Times New Roman" w:hAnsi="Times New Roman" w:cs="Times New Roman"/>
          <w:sz w:val="28"/>
        </w:rPr>
        <w:t>. </w:t>
      </w:r>
      <w:r w:rsidRPr="00C30A09">
        <w:rPr>
          <w:rFonts w:ascii="Times New Roman" w:hAnsi="Times New Roman" w:cs="Times New Roman"/>
          <w:sz w:val="28"/>
        </w:rPr>
        <w:t xml:space="preserve">gada </w:t>
      </w:r>
      <w:r w:rsidR="00C93460">
        <w:rPr>
          <w:rFonts w:ascii="Times New Roman" w:hAnsi="Times New Roman" w:cs="Times New Roman"/>
          <w:sz w:val="28"/>
        </w:rPr>
        <w:t>10. aprīļa</w:t>
      </w:r>
    </w:p>
    <w:p w14:paraId="3753C724" w14:textId="2ACE4372"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instrukcijai Nr</w:t>
      </w:r>
      <w:r w:rsidR="00C93460">
        <w:rPr>
          <w:rFonts w:ascii="Times New Roman" w:hAnsi="Times New Roman" w:cs="Times New Roman"/>
          <w:sz w:val="28"/>
        </w:rPr>
        <w:t>. 2</w:t>
      </w:r>
    </w:p>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5D0C4B5F"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20</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BE348A">
        <w:rPr>
          <w:rFonts w:ascii="Times New Roman" w:hAnsi="Times New Roman" w:cs="Times New Roman"/>
          <w:b/>
          <w:sz w:val="28"/>
          <w:szCs w:val="24"/>
        </w:rPr>
        <w:t>9</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bookmarkStart w:id="0" w:name="_GoBack"/>
      <w:bookmarkEnd w:id="0"/>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TableGrid"/>
        <w:tblW w:w="14006" w:type="dxa"/>
        <w:tblLook w:val="04A0" w:firstRow="1" w:lastRow="0" w:firstColumn="1" w:lastColumn="0" w:noHBand="0" w:noVBand="1"/>
      </w:tblPr>
      <w:tblGrid>
        <w:gridCol w:w="6947"/>
        <w:gridCol w:w="7046"/>
        <w:gridCol w:w="13"/>
      </w:tblGrid>
      <w:tr w:rsidR="00D90F06" w:rsidRPr="00CC77D5" w14:paraId="23A4769C" w14:textId="77777777" w:rsidTr="00D90F06">
        <w:tc>
          <w:tcPr>
            <w:tcW w:w="6947"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D90F06">
        <w:trPr>
          <w:gridAfter w:val="1"/>
          <w:wAfter w:w="13" w:type="dxa"/>
        </w:trPr>
        <w:tc>
          <w:tcPr>
            <w:tcW w:w="6947"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D90F06">
        <w:trPr>
          <w:gridAfter w:val="1"/>
          <w:wAfter w:w="13" w:type="dxa"/>
        </w:trPr>
        <w:tc>
          <w:tcPr>
            <w:tcW w:w="6947" w:type="dxa"/>
          </w:tcPr>
          <w:p w14:paraId="47E673E9" w14:textId="414634E4" w:rsidR="00E528BB" w:rsidRPr="00ED3A39" w:rsidRDefault="00E8273F" w:rsidP="00ED3A39">
            <w:pPr>
              <w:pStyle w:val="ListParagraph"/>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tcPr>
          <w:p w14:paraId="327B2EF5" w14:textId="3D1A527A" w:rsidR="00704714" w:rsidRPr="005A0023" w:rsidRDefault="005A0023" w:rsidP="005A0023">
            <w:pPr>
              <w:pStyle w:val="ListParagraph"/>
              <w:numPr>
                <w:ilvl w:val="0"/>
                <w:numId w:val="34"/>
              </w:numPr>
              <w:rPr>
                <w:rFonts w:ascii="Times New Roman" w:hAnsi="Times New Roman"/>
                <w:sz w:val="24"/>
                <w:szCs w:val="24"/>
                <w:lang w:eastAsia="lv-LV"/>
              </w:rPr>
            </w:pPr>
            <w:r w:rsidRPr="005A0023">
              <w:rPr>
                <w:rFonts w:ascii="Times New Roman" w:hAnsi="Times New Roman"/>
                <w:sz w:val="24"/>
                <w:szCs w:val="24"/>
                <w:lang w:eastAsia="lv-LV"/>
              </w:rPr>
              <w:t>n</w:t>
            </w:r>
            <w:r w:rsidR="00704714" w:rsidRPr="005A0023">
              <w:rPr>
                <w:rFonts w:ascii="Times New Roman" w:hAnsi="Times New Roman"/>
                <w:sz w:val="24"/>
                <w:szCs w:val="24"/>
                <w:lang w:eastAsia="lv-LV"/>
              </w:rPr>
              <w:t xml:space="preserve">odrošināta sociālā aprūpe un rehabilitācija vidēji </w:t>
            </w:r>
            <w:r w:rsidR="00C45996">
              <w:rPr>
                <w:rFonts w:ascii="Times New Roman" w:hAnsi="Times New Roman"/>
                <w:sz w:val="24"/>
                <w:szCs w:val="24"/>
                <w:lang w:eastAsia="lv-LV"/>
              </w:rPr>
              <w:t>87</w:t>
            </w:r>
            <w:r w:rsidR="00B902E2">
              <w:rPr>
                <w:rFonts w:ascii="Times New Roman" w:hAnsi="Times New Roman"/>
                <w:sz w:val="24"/>
                <w:szCs w:val="24"/>
                <w:lang w:eastAsia="lv-LV"/>
              </w:rPr>
              <w:t>1,5</w:t>
            </w:r>
            <w:r w:rsidR="0038308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klientiem (plāns </w:t>
            </w:r>
            <w:r w:rsidR="008E1A31">
              <w:rPr>
                <w:rFonts w:ascii="Times New Roman" w:hAnsi="Times New Roman"/>
                <w:sz w:val="24"/>
                <w:szCs w:val="24"/>
                <w:lang w:eastAsia="lv-LV"/>
              </w:rPr>
              <w:t>898</w:t>
            </w:r>
            <w:r w:rsidR="00704714" w:rsidRPr="005A0023">
              <w:rPr>
                <w:rFonts w:ascii="Times New Roman" w:hAnsi="Times New Roman"/>
                <w:sz w:val="24"/>
                <w:szCs w:val="24"/>
                <w:lang w:eastAsia="lv-LV"/>
              </w:rPr>
              <w:t xml:space="preserve">) </w:t>
            </w:r>
            <w:r w:rsidR="00E400C6">
              <w:rPr>
                <w:rFonts w:ascii="Times New Roman" w:hAnsi="Times New Roman"/>
                <w:sz w:val="24"/>
                <w:szCs w:val="24"/>
                <w:lang w:eastAsia="lv-LV"/>
              </w:rPr>
              <w:t>5</w:t>
            </w:r>
            <w:r w:rsidR="00704714"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D90F06">
        <w:trPr>
          <w:gridAfter w:val="1"/>
          <w:wAfter w:w="13" w:type="dxa"/>
        </w:trPr>
        <w:tc>
          <w:tcPr>
            <w:tcW w:w="6947" w:type="dxa"/>
          </w:tcPr>
          <w:p w14:paraId="00888E4C" w14:textId="44E94476" w:rsidR="00E8273F" w:rsidRPr="00CF2AF5" w:rsidRDefault="00E8273F" w:rsidP="00E8273F">
            <w:pPr>
              <w:pStyle w:val="ListParagraph"/>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0B9242C" w14:textId="2DD98250" w:rsidR="004D4BC7" w:rsidRPr="00CC77D5" w:rsidRDefault="004D4BC7" w:rsidP="00E41281">
            <w:pPr>
              <w:pStyle w:val="ListParagraph"/>
              <w:tabs>
                <w:tab w:val="left" w:pos="993"/>
              </w:tabs>
              <w:ind w:left="286"/>
              <w:rPr>
                <w:rFonts w:ascii="Times New Roman" w:hAnsi="Times New Roman" w:cs="Times New Roman"/>
              </w:rPr>
            </w:pPr>
          </w:p>
        </w:tc>
        <w:tc>
          <w:tcPr>
            <w:tcW w:w="7046" w:type="dxa"/>
          </w:tcPr>
          <w:p w14:paraId="730C776E" w14:textId="0FD3B407"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20</w:t>
            </w:r>
            <w:r w:rsidRPr="00787F0F">
              <w:rPr>
                <w:rFonts w:ascii="Times New Roman" w:hAnsi="Times New Roman"/>
                <w:i/>
                <w:sz w:val="24"/>
                <w:szCs w:val="24"/>
                <w:lang w:eastAsia="lv-LV"/>
              </w:rPr>
              <w:t xml:space="preserve">. gada </w:t>
            </w:r>
            <w:r w:rsidR="00BE348A">
              <w:rPr>
                <w:rFonts w:ascii="Times New Roman" w:hAnsi="Times New Roman"/>
                <w:i/>
                <w:sz w:val="24"/>
                <w:szCs w:val="24"/>
                <w:lang w:eastAsia="lv-LV"/>
              </w:rPr>
              <w:t>9</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322C95A6" w14:textId="1223BC89" w:rsidR="00930D00" w:rsidRPr="003B4F92" w:rsidRDefault="00F0050E" w:rsidP="00ED3A3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w:t>
            </w:r>
            <w:r w:rsidR="00C75BB6">
              <w:rPr>
                <w:rFonts w:ascii="Times New Roman" w:hAnsi="Times New Roman"/>
                <w:sz w:val="24"/>
                <w:szCs w:val="24"/>
                <w:lang w:eastAsia="lv-LV"/>
              </w:rPr>
              <w:t>L</w:t>
            </w:r>
            <w:r>
              <w:rPr>
                <w:rFonts w:ascii="Times New Roman" w:hAnsi="Times New Roman"/>
                <w:sz w:val="24"/>
                <w:szCs w:val="24"/>
                <w:lang w:eastAsia="lv-LV"/>
              </w:rPr>
              <w:t>itene”,</w:t>
            </w:r>
            <w:r w:rsidR="002456EA">
              <w:rPr>
                <w:rFonts w:ascii="Times New Roman" w:hAnsi="Times New Roman"/>
                <w:sz w:val="24"/>
                <w:szCs w:val="24"/>
                <w:lang w:eastAsia="lv-LV"/>
              </w:rPr>
              <w:t xml:space="preserve"> </w:t>
            </w:r>
            <w:r w:rsidR="003A4D69">
              <w:rPr>
                <w:rFonts w:ascii="Times New Roman" w:hAnsi="Times New Roman"/>
                <w:sz w:val="24"/>
                <w:szCs w:val="24"/>
                <w:lang w:eastAsia="lv-LV"/>
              </w:rPr>
              <w:t xml:space="preserve">”Krastiņi”, ”Kalupe”, </w:t>
            </w:r>
            <w:r>
              <w:rPr>
                <w:rFonts w:ascii="Times New Roman" w:hAnsi="Times New Roman"/>
                <w:sz w:val="24"/>
                <w:szCs w:val="24"/>
                <w:lang w:eastAsia="lv-LV"/>
              </w:rPr>
              <w:t xml:space="preserve"> “Kalkūni” ir veikti telpu atjaunošanas darbi, klientu dzīvojamo istabiņu, koplietošanas telpu kosmētiskie remonti, bojātās elektroinstalācijas un santehnikas nomaiņa</w:t>
            </w:r>
            <w:r w:rsidR="003A4D69">
              <w:rPr>
                <w:rFonts w:ascii="Times New Roman" w:hAnsi="Times New Roman"/>
                <w:sz w:val="24"/>
                <w:szCs w:val="24"/>
                <w:lang w:eastAsia="lv-LV"/>
              </w:rPr>
              <w:t>,</w:t>
            </w:r>
            <w:r w:rsidR="00432178">
              <w:rPr>
                <w:rFonts w:ascii="Times New Roman" w:hAnsi="Times New Roman"/>
                <w:sz w:val="24"/>
                <w:szCs w:val="24"/>
                <w:lang w:eastAsia="lv-LV"/>
              </w:rPr>
              <w:t>teritorijas labiekārtošana,bruģa ieklāšana</w:t>
            </w:r>
            <w:r>
              <w:rPr>
                <w:rFonts w:ascii="Times New Roman" w:hAnsi="Times New Roman"/>
                <w:sz w:val="24"/>
                <w:szCs w:val="24"/>
                <w:lang w:eastAsia="lv-LV"/>
              </w:rPr>
              <w:t xml:space="preserve"> par </w:t>
            </w:r>
            <w:r w:rsidR="00432178">
              <w:rPr>
                <w:rFonts w:ascii="Times New Roman" w:hAnsi="Times New Roman"/>
                <w:sz w:val="24"/>
                <w:szCs w:val="24"/>
                <w:lang w:eastAsia="lv-LV"/>
              </w:rPr>
              <w:t>54 753</w:t>
            </w:r>
            <w:r w:rsidR="00A74041">
              <w:rPr>
                <w:rFonts w:ascii="Times New Roman" w:hAnsi="Times New Roman"/>
                <w:sz w:val="24"/>
                <w:szCs w:val="24"/>
                <w:lang w:eastAsia="lv-LV"/>
              </w:rPr>
              <w:t xml:space="preserve"> </w:t>
            </w:r>
            <w:r>
              <w:rPr>
                <w:rFonts w:ascii="Times New Roman" w:hAnsi="Times New Roman"/>
                <w:sz w:val="24"/>
                <w:szCs w:val="24"/>
                <w:lang w:eastAsia="lv-LV"/>
              </w:rPr>
              <w:t xml:space="preserve"> </w:t>
            </w:r>
            <w:r w:rsidRPr="00ED3A39">
              <w:rPr>
                <w:rFonts w:ascii="Times New Roman" w:hAnsi="Times New Roman"/>
                <w:i/>
                <w:sz w:val="24"/>
                <w:szCs w:val="24"/>
                <w:lang w:eastAsia="lv-LV"/>
              </w:rPr>
              <w:t>euro.</w:t>
            </w:r>
          </w:p>
          <w:p w14:paraId="5B5AF62B" w14:textId="77777777" w:rsidR="00930D00" w:rsidRPr="00134644" w:rsidRDefault="00930D00" w:rsidP="00930D00">
            <w:pPr>
              <w:ind w:left="709"/>
              <w:rPr>
                <w:rFonts w:ascii="Times New Roman" w:hAnsi="Times New Roman"/>
                <w:sz w:val="24"/>
                <w:szCs w:val="24"/>
                <w:lang w:eastAsia="lv-LV"/>
              </w:rPr>
            </w:pPr>
          </w:p>
          <w:p w14:paraId="4BA2C602" w14:textId="1E179EC0" w:rsidR="00930D00" w:rsidRPr="00742672" w:rsidRDefault="00930D00" w:rsidP="00930D00">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2F0E2E">
              <w:rPr>
                <w:rFonts w:ascii="Times New Roman" w:hAnsi="Times New Roman"/>
                <w:b/>
                <w:i/>
                <w:sz w:val="24"/>
                <w:szCs w:val="24"/>
                <w:u w:val="single"/>
                <w:lang w:eastAsia="lv-LV"/>
              </w:rPr>
              <w:t>116 939,31</w:t>
            </w:r>
            <w:r w:rsidRPr="00742672">
              <w:rPr>
                <w:rFonts w:ascii="Times New Roman" w:hAnsi="Times New Roman"/>
                <w:i/>
                <w:sz w:val="24"/>
                <w:szCs w:val="24"/>
                <w:u w:val="single"/>
                <w:lang w:eastAsia="lv-LV"/>
              </w:rPr>
              <w:t xml:space="preserve"> euro</w:t>
            </w:r>
            <w:r w:rsidR="00B13278" w:rsidRPr="00742672">
              <w:rPr>
                <w:rFonts w:ascii="Times New Roman" w:hAnsi="Times New Roman"/>
                <w:i/>
                <w:sz w:val="24"/>
                <w:szCs w:val="24"/>
                <w:u w:val="single"/>
                <w:lang w:eastAsia="lv-LV"/>
              </w:rPr>
              <w:t>,</w:t>
            </w:r>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3BCB129A" w14:textId="675C896D" w:rsidR="00930D00" w:rsidRPr="00742672" w:rsidRDefault="00930D00" w:rsidP="00335035">
            <w:pPr>
              <w:ind w:left="567"/>
              <w:jc w:val="both"/>
              <w:rPr>
                <w:rFonts w:ascii="Times New Roman" w:hAnsi="Times New Roman"/>
                <w:sz w:val="24"/>
                <w:szCs w:val="24"/>
                <w:lang w:eastAsia="lv-LV"/>
              </w:rPr>
            </w:pPr>
          </w:p>
          <w:p w14:paraId="51A655CB" w14:textId="35982FA6" w:rsidR="00892D41" w:rsidRPr="00E86145" w:rsidRDefault="003A4D69" w:rsidP="00892D41">
            <w:pPr>
              <w:ind w:left="567"/>
              <w:jc w:val="both"/>
              <w:rPr>
                <w:rFonts w:ascii="Times New Roman" w:hAnsi="Times New Roman"/>
                <w:sz w:val="24"/>
                <w:szCs w:val="24"/>
                <w:lang w:eastAsia="lv-LV"/>
              </w:rPr>
            </w:pPr>
            <w:r>
              <w:rPr>
                <w:rFonts w:ascii="Times New Roman" w:hAnsi="Times New Roman"/>
                <w:sz w:val="24"/>
                <w:szCs w:val="24"/>
                <w:lang w:eastAsia="lv-LV"/>
              </w:rPr>
              <w:lastRenderedPageBreak/>
              <w:t>filiālei “Kalupe” par</w:t>
            </w:r>
            <w:r w:rsidR="00E86145">
              <w:rPr>
                <w:rFonts w:ascii="Times New Roman" w:hAnsi="Times New Roman"/>
                <w:sz w:val="24"/>
                <w:szCs w:val="24"/>
                <w:lang w:eastAsia="lv-LV"/>
              </w:rPr>
              <w:t xml:space="preserve"> </w:t>
            </w:r>
            <w:r w:rsidR="003B4BCC">
              <w:rPr>
                <w:rFonts w:ascii="Times New Roman" w:hAnsi="Times New Roman"/>
                <w:sz w:val="24"/>
                <w:szCs w:val="24"/>
                <w:lang w:eastAsia="lv-LV"/>
              </w:rPr>
              <w:t>12 021,50</w:t>
            </w:r>
            <w:r w:rsidR="00E86145">
              <w:rPr>
                <w:rFonts w:ascii="Times New Roman" w:hAnsi="Times New Roman"/>
                <w:sz w:val="24"/>
                <w:szCs w:val="24"/>
                <w:lang w:eastAsia="lv-LV"/>
              </w:rPr>
              <w:t xml:space="preserve"> </w:t>
            </w:r>
            <w:r w:rsidR="00E86145" w:rsidRPr="00E86145">
              <w:rPr>
                <w:rFonts w:ascii="Times New Roman" w:hAnsi="Times New Roman"/>
                <w:i/>
                <w:sz w:val="24"/>
                <w:szCs w:val="24"/>
                <w:lang w:eastAsia="lv-LV"/>
              </w:rPr>
              <w:t>euro</w:t>
            </w:r>
            <w:r w:rsidR="00E86145">
              <w:rPr>
                <w:rFonts w:ascii="Times New Roman" w:hAnsi="Times New Roman"/>
                <w:i/>
                <w:sz w:val="24"/>
                <w:szCs w:val="24"/>
                <w:lang w:eastAsia="lv-LV"/>
              </w:rPr>
              <w:t xml:space="preserve"> elektriskā </w:t>
            </w:r>
            <w:r w:rsidR="00E86145" w:rsidRPr="00E86145">
              <w:rPr>
                <w:rFonts w:ascii="Times New Roman" w:hAnsi="Times New Roman"/>
                <w:sz w:val="24"/>
                <w:szCs w:val="24"/>
                <w:lang w:eastAsia="lv-LV"/>
              </w:rPr>
              <w:t>plīts,</w:t>
            </w:r>
            <w:r w:rsidR="00E86145">
              <w:rPr>
                <w:rFonts w:ascii="Times New Roman" w:hAnsi="Times New Roman"/>
                <w:sz w:val="24"/>
                <w:szCs w:val="24"/>
                <w:lang w:eastAsia="lv-LV"/>
              </w:rPr>
              <w:t xml:space="preserve"> </w:t>
            </w:r>
            <w:r w:rsidR="00E86145" w:rsidRPr="00E86145">
              <w:rPr>
                <w:rFonts w:ascii="Times New Roman" w:hAnsi="Times New Roman"/>
                <w:sz w:val="24"/>
                <w:szCs w:val="24"/>
                <w:lang w:eastAsia="lv-LV"/>
              </w:rPr>
              <w:t xml:space="preserve">elektriskais </w:t>
            </w:r>
            <w:r w:rsidR="00E86145">
              <w:rPr>
                <w:rFonts w:ascii="Times New Roman" w:hAnsi="Times New Roman"/>
                <w:sz w:val="24"/>
                <w:szCs w:val="24"/>
                <w:lang w:eastAsia="lv-LV"/>
              </w:rPr>
              <w:t xml:space="preserve">   </w:t>
            </w:r>
            <w:r w:rsidR="00E86145" w:rsidRPr="00E86145">
              <w:rPr>
                <w:rFonts w:ascii="Times New Roman" w:hAnsi="Times New Roman"/>
                <w:sz w:val="24"/>
                <w:szCs w:val="24"/>
                <w:lang w:eastAsia="lv-LV"/>
              </w:rPr>
              <w:t>vārkatls</w:t>
            </w:r>
            <w:r w:rsidR="007340D5">
              <w:rPr>
                <w:rFonts w:ascii="Times New Roman" w:hAnsi="Times New Roman"/>
                <w:sz w:val="24"/>
                <w:szCs w:val="24"/>
                <w:lang w:eastAsia="lv-LV"/>
              </w:rPr>
              <w:t>,izstrādāts jumta</w:t>
            </w:r>
            <w:r w:rsidR="003B4BCC">
              <w:rPr>
                <w:rFonts w:ascii="Times New Roman" w:hAnsi="Times New Roman"/>
                <w:sz w:val="24"/>
                <w:szCs w:val="24"/>
                <w:lang w:eastAsia="lv-LV"/>
              </w:rPr>
              <w:t xml:space="preserve"> konstrukciju pārbūves, fasādes remonta projekts</w:t>
            </w:r>
            <w:r w:rsidR="007340D5">
              <w:rPr>
                <w:rFonts w:ascii="Times New Roman" w:hAnsi="Times New Roman"/>
                <w:sz w:val="24"/>
                <w:szCs w:val="24"/>
                <w:lang w:eastAsia="lv-LV"/>
              </w:rPr>
              <w:t>;</w:t>
            </w:r>
          </w:p>
          <w:p w14:paraId="3AF728B5" w14:textId="4569B5E3" w:rsidR="00892D41" w:rsidRDefault="00892D41" w:rsidP="00892D41">
            <w:pPr>
              <w:ind w:left="567"/>
              <w:jc w:val="both"/>
              <w:rPr>
                <w:rFonts w:ascii="Times New Roman" w:hAnsi="Times New Roman"/>
                <w:sz w:val="24"/>
                <w:szCs w:val="24"/>
                <w:lang w:eastAsia="lv-LV"/>
              </w:rPr>
            </w:pPr>
            <w:r>
              <w:rPr>
                <w:rFonts w:ascii="Times New Roman" w:hAnsi="Times New Roman"/>
                <w:sz w:val="24"/>
                <w:szCs w:val="24"/>
                <w:lang w:eastAsia="lv-LV"/>
              </w:rPr>
              <w:t xml:space="preserve">filiālei “Litene” par </w:t>
            </w:r>
            <w:r w:rsidR="00E86145">
              <w:rPr>
                <w:rFonts w:ascii="Times New Roman" w:hAnsi="Times New Roman"/>
                <w:sz w:val="24"/>
                <w:szCs w:val="24"/>
                <w:lang w:eastAsia="lv-LV"/>
              </w:rPr>
              <w:t>1</w:t>
            </w:r>
            <w:r w:rsidR="00AF1DF7">
              <w:rPr>
                <w:rFonts w:ascii="Times New Roman" w:hAnsi="Times New Roman"/>
                <w:sz w:val="24"/>
                <w:szCs w:val="24"/>
                <w:lang w:eastAsia="lv-LV"/>
              </w:rPr>
              <w:t xml:space="preserve"> </w:t>
            </w:r>
            <w:r w:rsidR="00E86145">
              <w:rPr>
                <w:rFonts w:ascii="Times New Roman" w:hAnsi="Times New Roman"/>
                <w:sz w:val="24"/>
                <w:szCs w:val="24"/>
                <w:lang w:eastAsia="lv-LV"/>
              </w:rPr>
              <w:t>599,75</w:t>
            </w:r>
            <w:r>
              <w:rPr>
                <w:rFonts w:ascii="Times New Roman" w:hAnsi="Times New Roman"/>
                <w:sz w:val="24"/>
                <w:szCs w:val="24"/>
                <w:lang w:eastAsia="lv-LV"/>
              </w:rPr>
              <w:t xml:space="preserve"> </w:t>
            </w:r>
            <w:r w:rsidR="003A4D69">
              <w:rPr>
                <w:rFonts w:ascii="Times New Roman" w:hAnsi="Times New Roman"/>
                <w:i/>
                <w:sz w:val="24"/>
                <w:szCs w:val="24"/>
                <w:lang w:eastAsia="lv-LV"/>
              </w:rPr>
              <w:t>euro</w:t>
            </w:r>
            <w:r w:rsidR="00E86145">
              <w:rPr>
                <w:rFonts w:ascii="Times New Roman" w:hAnsi="Times New Roman"/>
                <w:i/>
                <w:sz w:val="24"/>
                <w:szCs w:val="24"/>
                <w:lang w:eastAsia="lv-LV"/>
              </w:rPr>
              <w:t xml:space="preserve">  </w:t>
            </w:r>
            <w:r w:rsidR="00E86145" w:rsidRPr="00E86145">
              <w:rPr>
                <w:rFonts w:ascii="Times New Roman" w:hAnsi="Times New Roman"/>
                <w:sz w:val="24"/>
                <w:szCs w:val="24"/>
                <w:lang w:eastAsia="lv-LV"/>
              </w:rPr>
              <w:t>printeris</w:t>
            </w:r>
            <w:r w:rsidR="007340D5">
              <w:rPr>
                <w:rFonts w:ascii="Times New Roman" w:hAnsi="Times New Roman"/>
                <w:sz w:val="24"/>
                <w:szCs w:val="24"/>
                <w:lang w:eastAsia="lv-LV"/>
              </w:rPr>
              <w:t>;</w:t>
            </w:r>
          </w:p>
          <w:p w14:paraId="49874B16" w14:textId="03738FF3" w:rsidR="003B4BCC" w:rsidRDefault="003B4BCC" w:rsidP="00892D41">
            <w:pPr>
              <w:ind w:left="567"/>
              <w:jc w:val="both"/>
              <w:rPr>
                <w:rFonts w:ascii="Times New Roman" w:hAnsi="Times New Roman"/>
                <w:sz w:val="24"/>
                <w:szCs w:val="24"/>
                <w:lang w:eastAsia="lv-LV"/>
              </w:rPr>
            </w:pPr>
            <w:r>
              <w:rPr>
                <w:rFonts w:ascii="Times New Roman" w:hAnsi="Times New Roman"/>
                <w:sz w:val="24"/>
                <w:szCs w:val="24"/>
                <w:lang w:eastAsia="lv-LV"/>
              </w:rPr>
              <w:t>filiālei “Mēmele” par 2</w:t>
            </w:r>
            <w:r w:rsidR="00AF1DF7">
              <w:rPr>
                <w:rFonts w:ascii="Times New Roman" w:hAnsi="Times New Roman"/>
                <w:sz w:val="24"/>
                <w:szCs w:val="24"/>
                <w:lang w:eastAsia="lv-LV"/>
              </w:rPr>
              <w:t xml:space="preserve"> </w:t>
            </w:r>
            <w:r>
              <w:rPr>
                <w:rFonts w:ascii="Times New Roman" w:hAnsi="Times New Roman"/>
                <w:sz w:val="24"/>
                <w:szCs w:val="24"/>
                <w:lang w:eastAsia="lv-LV"/>
              </w:rPr>
              <w:t>323,20 trīs datori</w:t>
            </w:r>
            <w:r w:rsidR="007340D5">
              <w:rPr>
                <w:rFonts w:ascii="Times New Roman" w:hAnsi="Times New Roman"/>
                <w:sz w:val="24"/>
                <w:szCs w:val="24"/>
                <w:lang w:eastAsia="lv-LV"/>
              </w:rPr>
              <w:t>;</w:t>
            </w:r>
          </w:p>
          <w:p w14:paraId="46D52393" w14:textId="778D57A9" w:rsidR="003B4BCC" w:rsidRDefault="003B4BCC" w:rsidP="00892D41">
            <w:pPr>
              <w:ind w:left="567"/>
              <w:jc w:val="both"/>
              <w:rPr>
                <w:rFonts w:ascii="Times New Roman" w:hAnsi="Times New Roman"/>
                <w:sz w:val="24"/>
                <w:szCs w:val="24"/>
                <w:lang w:eastAsia="lv-LV"/>
              </w:rPr>
            </w:pPr>
            <w:r>
              <w:rPr>
                <w:rFonts w:ascii="Times New Roman" w:hAnsi="Times New Roman"/>
                <w:sz w:val="24"/>
                <w:szCs w:val="24"/>
                <w:lang w:eastAsia="lv-LV"/>
              </w:rPr>
              <w:t xml:space="preserve">filiālei”Krastiņi” par </w:t>
            </w:r>
            <w:r w:rsidR="00587EA2">
              <w:rPr>
                <w:rFonts w:ascii="Times New Roman" w:hAnsi="Times New Roman"/>
                <w:sz w:val="24"/>
                <w:szCs w:val="24"/>
                <w:lang w:eastAsia="lv-LV"/>
              </w:rPr>
              <w:t>94 835,96</w:t>
            </w:r>
            <w:r>
              <w:rPr>
                <w:rFonts w:ascii="Times New Roman" w:hAnsi="Times New Roman"/>
                <w:sz w:val="24"/>
                <w:szCs w:val="24"/>
                <w:lang w:eastAsia="lv-LV"/>
              </w:rPr>
              <w:t xml:space="preserve"> iebraucamā ceļa un ter</w:t>
            </w:r>
            <w:r w:rsidR="00587EA2">
              <w:rPr>
                <w:rFonts w:ascii="Times New Roman" w:hAnsi="Times New Roman"/>
                <w:sz w:val="24"/>
                <w:szCs w:val="24"/>
                <w:lang w:eastAsia="lv-LV"/>
              </w:rPr>
              <w:t>i</w:t>
            </w:r>
            <w:r>
              <w:rPr>
                <w:rFonts w:ascii="Times New Roman" w:hAnsi="Times New Roman"/>
                <w:sz w:val="24"/>
                <w:szCs w:val="24"/>
                <w:lang w:eastAsia="lv-LV"/>
              </w:rPr>
              <w:t>torijas labiekārtošana</w:t>
            </w:r>
            <w:r w:rsidR="00587EA2">
              <w:rPr>
                <w:rFonts w:ascii="Times New Roman" w:hAnsi="Times New Roman"/>
                <w:sz w:val="24"/>
                <w:szCs w:val="24"/>
                <w:lang w:eastAsia="lv-LV"/>
              </w:rPr>
              <w:t>, funkcionālā aprūpes gulta;</w:t>
            </w:r>
          </w:p>
          <w:p w14:paraId="2BBD59FA" w14:textId="6E8414E4" w:rsidR="00D23D1E" w:rsidRDefault="00D5361C" w:rsidP="003A4D69">
            <w:pPr>
              <w:ind w:left="567"/>
              <w:jc w:val="both"/>
              <w:rPr>
                <w:rFonts w:ascii="Times New Roman" w:hAnsi="Times New Roman" w:cs="Times New Roman"/>
                <w:sz w:val="24"/>
                <w:szCs w:val="24"/>
              </w:rPr>
            </w:pPr>
            <w:r>
              <w:rPr>
                <w:rFonts w:ascii="Times New Roman" w:hAnsi="Times New Roman" w:cs="Times New Roman"/>
                <w:sz w:val="24"/>
                <w:szCs w:val="24"/>
              </w:rPr>
              <w:t>filiālei “Kalkūni”</w:t>
            </w:r>
            <w:r w:rsidR="00CE7674" w:rsidRPr="00782B6A">
              <w:rPr>
                <w:rFonts w:ascii="Times New Roman" w:hAnsi="Times New Roman" w:cs="Times New Roman"/>
                <w:sz w:val="24"/>
                <w:szCs w:val="24"/>
              </w:rPr>
              <w:t xml:space="preserve"> </w:t>
            </w:r>
            <w:r>
              <w:rPr>
                <w:rFonts w:ascii="Times New Roman" w:hAnsi="Times New Roman" w:cs="Times New Roman"/>
                <w:sz w:val="24"/>
                <w:szCs w:val="24"/>
              </w:rPr>
              <w:t xml:space="preserve">par </w:t>
            </w:r>
            <w:r w:rsidR="002F0E2E">
              <w:rPr>
                <w:rFonts w:ascii="Times New Roman" w:hAnsi="Times New Roman" w:cs="Times New Roman"/>
                <w:sz w:val="24"/>
                <w:szCs w:val="24"/>
              </w:rPr>
              <w:t>6 158,90</w:t>
            </w:r>
            <w:r>
              <w:rPr>
                <w:rFonts w:ascii="Times New Roman" w:hAnsi="Times New Roman" w:cs="Times New Roman"/>
                <w:sz w:val="24"/>
                <w:szCs w:val="24"/>
              </w:rPr>
              <w:t xml:space="preserve"> </w:t>
            </w:r>
            <w:r w:rsidRPr="00D5361C">
              <w:rPr>
                <w:rFonts w:ascii="Times New Roman" w:hAnsi="Times New Roman" w:cs="Times New Roman"/>
                <w:i/>
                <w:sz w:val="24"/>
                <w:szCs w:val="24"/>
              </w:rPr>
              <w:t>euro</w:t>
            </w:r>
            <w:r w:rsidR="003A4D69">
              <w:rPr>
                <w:rFonts w:ascii="Times New Roman" w:hAnsi="Times New Roman" w:cs="Times New Roman"/>
                <w:sz w:val="24"/>
                <w:szCs w:val="24"/>
              </w:rPr>
              <w:t xml:space="preserve"> </w:t>
            </w:r>
            <w:r w:rsidR="00587EA2">
              <w:rPr>
                <w:rFonts w:ascii="Times New Roman" w:hAnsi="Times New Roman" w:cs="Times New Roman"/>
                <w:sz w:val="24"/>
                <w:szCs w:val="24"/>
              </w:rPr>
              <w:t xml:space="preserve"> veļas mazgājamā mašīna,profesionālais veļas gludināmais rullis,</w:t>
            </w:r>
            <w:r w:rsidR="00AF1DF7">
              <w:rPr>
                <w:rFonts w:ascii="Times New Roman" w:hAnsi="Times New Roman" w:cs="Times New Roman"/>
                <w:sz w:val="24"/>
                <w:szCs w:val="24"/>
              </w:rPr>
              <w:t>ģinekoloģiskais krēsls.</w:t>
            </w:r>
          </w:p>
          <w:p w14:paraId="7053678B" w14:textId="45D0D90C" w:rsidR="00D5361C" w:rsidRPr="00782B6A"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D90F06">
        <w:trPr>
          <w:gridAfter w:val="1"/>
          <w:wAfter w:w="13" w:type="dxa"/>
        </w:trPr>
        <w:tc>
          <w:tcPr>
            <w:tcW w:w="6947" w:type="dxa"/>
          </w:tcPr>
          <w:p w14:paraId="239FA8E6" w14:textId="79C2AB6B"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3F1F32A8" w14:textId="77777777" w:rsidR="00973B19" w:rsidRPr="00CC77D5" w:rsidRDefault="00973B19" w:rsidP="003E7CFF">
            <w:pPr>
              <w:pStyle w:val="ListParagraph"/>
              <w:tabs>
                <w:tab w:val="left" w:pos="993"/>
              </w:tabs>
              <w:ind w:left="0"/>
              <w:rPr>
                <w:rFonts w:ascii="Times New Roman" w:hAnsi="Times New Roman" w:cs="Times New Roman"/>
                <w:i/>
              </w:rPr>
            </w:pPr>
          </w:p>
        </w:tc>
      </w:tr>
      <w:tr w:rsidR="00973B19" w:rsidRPr="00CC77D5" w14:paraId="29EABEEF" w14:textId="77777777" w:rsidTr="00D90F06">
        <w:trPr>
          <w:gridAfter w:val="1"/>
          <w:wAfter w:w="13" w:type="dxa"/>
        </w:trPr>
        <w:tc>
          <w:tcPr>
            <w:tcW w:w="6947" w:type="dxa"/>
          </w:tcPr>
          <w:p w14:paraId="7EC766B0" w14:textId="38DB6E6A" w:rsidR="00973B19" w:rsidRPr="00E8273F" w:rsidRDefault="00E8273F" w:rsidP="00E41281">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46" w:type="dxa"/>
          </w:tcPr>
          <w:p w14:paraId="0EA7FD38" w14:textId="1225D7B8" w:rsidR="00704714" w:rsidRPr="00E8273F" w:rsidRDefault="00E8273F" w:rsidP="00704714">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sidR="00C92A3C">
              <w:rPr>
                <w:rFonts w:ascii="Times New Roman" w:hAnsi="Times New Roman"/>
                <w:sz w:val="24"/>
                <w:szCs w:val="24"/>
                <w:lang w:eastAsia="lv-LV"/>
              </w:rPr>
              <w:t>“</w:t>
            </w:r>
            <w:r w:rsidRPr="00ED3A39">
              <w:rPr>
                <w:rFonts w:ascii="Times New Roman" w:hAnsi="Times New Roman"/>
                <w:sz w:val="24"/>
                <w:szCs w:val="24"/>
                <w:lang w:eastAsia="lv-LV"/>
              </w:rPr>
              <w:t>Latgale</w:t>
            </w:r>
            <w:r w:rsidR="00C92A3C">
              <w:rPr>
                <w:rFonts w:ascii="Times New Roman" w:hAnsi="Times New Roman"/>
                <w:sz w:val="24"/>
                <w:szCs w:val="24"/>
                <w:lang w:eastAsia="lv-LV"/>
              </w:rPr>
              <w:t>”</w:t>
            </w:r>
            <w:r w:rsidRPr="00ED3A39">
              <w:rPr>
                <w:rFonts w:ascii="Times New Roman" w:hAnsi="Times New Roman"/>
                <w:sz w:val="24"/>
                <w:szCs w:val="24"/>
                <w:lang w:eastAsia="lv-LV"/>
              </w:rPr>
              <w:t xml:space="preserve"> i</w:t>
            </w:r>
            <w:r w:rsidR="00704714" w:rsidRPr="00ED3A39">
              <w:rPr>
                <w:rFonts w:ascii="Times New Roman" w:hAnsi="Times New Roman"/>
                <w:sz w:val="24"/>
                <w:szCs w:val="24"/>
                <w:lang w:eastAsia="lv-LV"/>
              </w:rPr>
              <w:t>zdevumu izpilde 20</w:t>
            </w:r>
            <w:r w:rsidR="00AA4C6C">
              <w:rPr>
                <w:rFonts w:ascii="Times New Roman" w:hAnsi="Times New Roman"/>
                <w:sz w:val="24"/>
                <w:szCs w:val="24"/>
                <w:lang w:eastAsia="lv-LV"/>
              </w:rPr>
              <w:t>20</w:t>
            </w:r>
            <w:r w:rsidR="00704714" w:rsidRPr="00ED3A39">
              <w:rPr>
                <w:rFonts w:ascii="Times New Roman" w:hAnsi="Times New Roman"/>
                <w:sz w:val="24"/>
                <w:szCs w:val="24"/>
                <w:lang w:eastAsia="lv-LV"/>
              </w:rPr>
              <w:t xml:space="preserve">. gada </w:t>
            </w:r>
            <w:r w:rsidR="00BE348A">
              <w:rPr>
                <w:rFonts w:ascii="Times New Roman" w:hAnsi="Times New Roman"/>
                <w:sz w:val="24"/>
                <w:szCs w:val="24"/>
                <w:lang w:eastAsia="lv-LV"/>
              </w:rPr>
              <w:t>9</w:t>
            </w:r>
            <w:r w:rsidR="00704714" w:rsidRPr="00ED3A39">
              <w:rPr>
                <w:rFonts w:ascii="Times New Roman" w:hAnsi="Times New Roman"/>
                <w:sz w:val="24"/>
                <w:szCs w:val="24"/>
                <w:lang w:eastAsia="lv-LV"/>
              </w:rPr>
              <w:t xml:space="preserve"> mēnešos ir </w:t>
            </w:r>
            <w:r w:rsidR="00A96020">
              <w:rPr>
                <w:rFonts w:ascii="Times New Roman" w:hAnsi="Times New Roman"/>
                <w:bCs/>
                <w:sz w:val="24"/>
                <w:szCs w:val="24"/>
                <w:lang w:eastAsia="lv-LV"/>
              </w:rPr>
              <w:t>6 624 691</w:t>
            </w:r>
            <w:r w:rsidR="0013797E" w:rsidRPr="00ED3A39">
              <w:rPr>
                <w:rFonts w:ascii="Times New Roman" w:hAnsi="Times New Roman"/>
                <w:bCs/>
                <w:sz w:val="24"/>
                <w:szCs w:val="24"/>
                <w:lang w:eastAsia="lv-LV"/>
              </w:rPr>
              <w:t xml:space="preserve"> </w:t>
            </w:r>
            <w:r w:rsidR="0013797E" w:rsidRPr="00ED3A39">
              <w:rPr>
                <w:rFonts w:ascii="Times New Roman" w:hAnsi="Times New Roman"/>
                <w:sz w:val="24"/>
                <w:szCs w:val="24"/>
                <w:lang w:eastAsia="lv-LV"/>
              </w:rPr>
              <w:t xml:space="preserve"> </w:t>
            </w:r>
            <w:r w:rsidR="00026134" w:rsidRPr="00E8273F">
              <w:rPr>
                <w:rFonts w:ascii="Times New Roman" w:hAnsi="Times New Roman"/>
                <w:i/>
                <w:sz w:val="24"/>
                <w:szCs w:val="24"/>
                <w:lang w:eastAsia="lv-LV"/>
              </w:rPr>
              <w:t>euro</w:t>
            </w:r>
            <w:r w:rsidR="00704714"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00704714" w:rsidRPr="00E8273F">
              <w:rPr>
                <w:rFonts w:ascii="Times New Roman" w:hAnsi="Times New Roman"/>
                <w:sz w:val="24"/>
                <w:szCs w:val="24"/>
                <w:lang w:eastAsia="lv-LV"/>
              </w:rPr>
              <w:t xml:space="preserve"> izpildi</w:t>
            </w:r>
            <w:r w:rsidR="00C75BB6">
              <w:rPr>
                <w:rFonts w:ascii="Times New Roman" w:hAnsi="Times New Roman"/>
                <w:sz w:val="24"/>
                <w:szCs w:val="24"/>
                <w:lang w:eastAsia="lv-LV"/>
              </w:rPr>
              <w:t>,</w:t>
            </w:r>
            <w:r w:rsidR="00704714" w:rsidRPr="00E8273F">
              <w:rPr>
                <w:rFonts w:ascii="Times New Roman" w:hAnsi="Times New Roman"/>
                <w:sz w:val="24"/>
                <w:szCs w:val="24"/>
                <w:lang w:eastAsia="lv-LV"/>
              </w:rPr>
              <w:t xml:space="preserve"> </w:t>
            </w:r>
            <w:r w:rsidR="00C7316A">
              <w:rPr>
                <w:rFonts w:ascii="Times New Roman" w:hAnsi="Times New Roman"/>
                <w:sz w:val="24"/>
                <w:szCs w:val="24"/>
                <w:lang w:eastAsia="lv-LV"/>
              </w:rPr>
              <w:t xml:space="preserve">finansējums ir </w:t>
            </w:r>
            <w:r w:rsidR="00CD6E9E" w:rsidRPr="00E8273F">
              <w:rPr>
                <w:rFonts w:ascii="Times New Roman" w:hAnsi="Times New Roman"/>
                <w:sz w:val="24"/>
                <w:szCs w:val="24"/>
                <w:lang w:eastAsia="lv-LV"/>
              </w:rPr>
              <w:t>paliel</w:t>
            </w:r>
            <w:r w:rsidR="00704714" w:rsidRPr="00E8273F">
              <w:rPr>
                <w:rFonts w:ascii="Times New Roman" w:hAnsi="Times New Roman"/>
                <w:sz w:val="24"/>
                <w:szCs w:val="24"/>
                <w:lang w:eastAsia="lv-LV"/>
              </w:rPr>
              <w:t>ināj</w:t>
            </w:r>
            <w:r w:rsidR="00C7316A">
              <w:rPr>
                <w:rFonts w:ascii="Times New Roman" w:hAnsi="Times New Roman"/>
                <w:sz w:val="24"/>
                <w:szCs w:val="24"/>
                <w:lang w:eastAsia="lv-LV"/>
              </w:rPr>
              <w:t>ies</w:t>
            </w:r>
            <w:r w:rsidR="00704714" w:rsidRPr="00E8273F">
              <w:rPr>
                <w:rFonts w:ascii="Times New Roman" w:hAnsi="Times New Roman"/>
                <w:sz w:val="24"/>
                <w:szCs w:val="24"/>
                <w:lang w:eastAsia="lv-LV"/>
              </w:rPr>
              <w:t xml:space="preserve"> </w:t>
            </w:r>
            <w:r w:rsidR="00C7316A">
              <w:rPr>
                <w:rFonts w:ascii="Times New Roman" w:hAnsi="Times New Roman"/>
                <w:sz w:val="24"/>
                <w:szCs w:val="24"/>
                <w:lang w:eastAsia="lv-LV"/>
              </w:rPr>
              <w:t>par</w:t>
            </w:r>
            <w:r w:rsidR="00704714" w:rsidRPr="00E8273F">
              <w:rPr>
                <w:rFonts w:ascii="Times New Roman" w:hAnsi="Times New Roman"/>
                <w:sz w:val="24"/>
                <w:szCs w:val="24"/>
                <w:lang w:eastAsia="lv-LV"/>
              </w:rPr>
              <w:t xml:space="preserve"> </w:t>
            </w:r>
            <w:r w:rsidR="00A96020">
              <w:rPr>
                <w:rFonts w:ascii="Times New Roman" w:hAnsi="Times New Roman"/>
                <w:sz w:val="24"/>
                <w:szCs w:val="24"/>
                <w:lang w:eastAsia="lv-LV"/>
              </w:rPr>
              <w:t>600 421</w:t>
            </w:r>
            <w:r w:rsidR="00704714" w:rsidRPr="00E8273F">
              <w:rPr>
                <w:rFonts w:ascii="Times New Roman" w:hAnsi="Times New Roman"/>
                <w:sz w:val="24"/>
                <w:szCs w:val="24"/>
                <w:lang w:eastAsia="lv-LV"/>
              </w:rPr>
              <w:t xml:space="preserve"> </w:t>
            </w:r>
            <w:r w:rsidR="00026134" w:rsidRPr="00E8273F">
              <w:rPr>
                <w:rFonts w:ascii="Times New Roman" w:hAnsi="Times New Roman"/>
                <w:i/>
                <w:sz w:val="24"/>
                <w:szCs w:val="24"/>
                <w:lang w:eastAsia="lv-LV"/>
              </w:rPr>
              <w:t>euro</w:t>
            </w:r>
            <w:r w:rsidR="00704714" w:rsidRPr="00E8273F">
              <w:rPr>
                <w:rFonts w:ascii="Times New Roman" w:hAnsi="Times New Roman"/>
                <w:sz w:val="24"/>
                <w:szCs w:val="24"/>
                <w:lang w:eastAsia="lv-LV"/>
              </w:rPr>
              <w:t xml:space="preserve"> vai </w:t>
            </w:r>
            <w:r w:rsidR="00A96020">
              <w:rPr>
                <w:rFonts w:ascii="Times New Roman" w:hAnsi="Times New Roman"/>
                <w:sz w:val="24"/>
                <w:szCs w:val="24"/>
                <w:lang w:eastAsia="lv-LV"/>
              </w:rPr>
              <w:t>9,06</w:t>
            </w:r>
            <w:r w:rsidR="00704714" w:rsidRPr="00E8273F">
              <w:rPr>
                <w:rFonts w:ascii="Times New Roman" w:hAnsi="Times New Roman"/>
                <w:sz w:val="24"/>
                <w:szCs w:val="24"/>
                <w:lang w:eastAsia="lv-LV"/>
              </w:rPr>
              <w:t xml:space="preserve"> %.</w:t>
            </w:r>
          </w:p>
          <w:p w14:paraId="3D0414DA" w14:textId="77777777" w:rsidR="00E8273F" w:rsidRPr="003B4F92" w:rsidRDefault="00E8273F" w:rsidP="00704714">
            <w:pPr>
              <w:widowControl w:val="0"/>
              <w:jc w:val="both"/>
              <w:rPr>
                <w:rFonts w:ascii="Times New Roman" w:hAnsi="Times New Roman"/>
                <w:sz w:val="24"/>
                <w:szCs w:val="24"/>
                <w:lang w:eastAsia="lv-LV"/>
              </w:rPr>
            </w:pPr>
          </w:p>
          <w:p w14:paraId="71CF466B" w14:textId="77777777" w:rsidR="00FD0FA6" w:rsidRPr="00787F0F" w:rsidRDefault="00FD0FA6" w:rsidP="00FD0FA6">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23EB6CC8" w14:textId="540BA091" w:rsidR="00BA1EA7" w:rsidRDefault="00FD0FA6" w:rsidP="00ED3A39">
            <w:pPr>
              <w:pStyle w:val="ListParagraph"/>
              <w:numPr>
                <w:ilvl w:val="0"/>
                <w:numId w:val="34"/>
              </w:numPr>
              <w:jc w:val="both"/>
              <w:rPr>
                <w:rFonts w:ascii="Times New Roman" w:hAnsi="Times New Roman"/>
                <w:sz w:val="24"/>
                <w:szCs w:val="24"/>
                <w:lang w:eastAsia="lv-LV"/>
              </w:rPr>
            </w:pPr>
            <w:r w:rsidRPr="00ED3A39">
              <w:rPr>
                <w:rFonts w:ascii="Times New Roman" w:hAnsi="Times New Roman"/>
                <w:sz w:val="24"/>
                <w:szCs w:val="24"/>
                <w:lang w:eastAsia="lv-LV"/>
              </w:rPr>
              <w:t>atlīdzības izdevum</w:t>
            </w:r>
            <w:r w:rsidR="00C7316A">
              <w:rPr>
                <w:rFonts w:ascii="Times New Roman" w:hAnsi="Times New Roman"/>
                <w:sz w:val="24"/>
                <w:szCs w:val="24"/>
                <w:lang w:eastAsia="lv-LV"/>
              </w:rPr>
              <w:t>i</w:t>
            </w:r>
            <w:r w:rsidR="00C7316A" w:rsidRPr="00ED3A39">
              <w:rPr>
                <w:rFonts w:ascii="Times New Roman" w:hAnsi="Times New Roman"/>
                <w:sz w:val="24"/>
                <w:szCs w:val="24"/>
                <w:lang w:eastAsia="lv-LV"/>
              </w:rPr>
              <w:t xml:space="preserve"> i</w:t>
            </w:r>
            <w:r w:rsidR="00C7316A">
              <w:rPr>
                <w:rFonts w:ascii="Times New Roman" w:hAnsi="Times New Roman"/>
                <w:sz w:val="24"/>
                <w:szCs w:val="24"/>
                <w:lang w:eastAsia="lv-LV"/>
              </w:rPr>
              <w:t>r</w:t>
            </w:r>
            <w:r w:rsidRPr="00ED3A39">
              <w:rPr>
                <w:rFonts w:ascii="Times New Roman" w:hAnsi="Times New Roman"/>
                <w:sz w:val="24"/>
                <w:szCs w:val="24"/>
                <w:lang w:eastAsia="lv-LV"/>
              </w:rPr>
              <w:t xml:space="preserve"> </w:t>
            </w:r>
            <w:r w:rsidR="00824BF8" w:rsidRPr="00ED3A39">
              <w:rPr>
                <w:rFonts w:ascii="Times New Roman" w:hAnsi="Times New Roman"/>
                <w:sz w:val="24"/>
                <w:szCs w:val="24"/>
                <w:lang w:eastAsia="lv-LV"/>
              </w:rPr>
              <w:t>paliel</w:t>
            </w:r>
            <w:r w:rsidRPr="00ED3A39">
              <w:rPr>
                <w:rFonts w:ascii="Times New Roman" w:hAnsi="Times New Roman"/>
                <w:sz w:val="24"/>
                <w:szCs w:val="24"/>
                <w:lang w:eastAsia="lv-LV"/>
              </w:rPr>
              <w:t>ināju</w:t>
            </w:r>
            <w:r w:rsidR="00C7316A">
              <w:rPr>
                <w:rFonts w:ascii="Times New Roman" w:hAnsi="Times New Roman"/>
                <w:sz w:val="24"/>
                <w:szCs w:val="24"/>
                <w:lang w:eastAsia="lv-LV"/>
              </w:rPr>
              <w:t xml:space="preserve">šies </w:t>
            </w:r>
            <w:r w:rsidRPr="00ED3A39">
              <w:rPr>
                <w:rFonts w:ascii="Times New Roman" w:hAnsi="Times New Roman"/>
                <w:sz w:val="24"/>
                <w:szCs w:val="24"/>
                <w:lang w:eastAsia="lv-LV"/>
              </w:rPr>
              <w:t xml:space="preserve">par </w:t>
            </w:r>
            <w:r w:rsidR="00465014">
              <w:rPr>
                <w:rFonts w:ascii="Times New Roman" w:hAnsi="Times New Roman"/>
                <w:sz w:val="24"/>
                <w:szCs w:val="24"/>
                <w:lang w:eastAsia="lv-LV"/>
              </w:rPr>
              <w:t>519 268</w:t>
            </w:r>
            <w:r w:rsidR="00824BF8" w:rsidRPr="00ED3A39">
              <w:rPr>
                <w:rFonts w:ascii="Times New Roman" w:hAnsi="Times New Roman"/>
                <w:sz w:val="24"/>
                <w:szCs w:val="24"/>
                <w:lang w:eastAsia="lv-LV"/>
              </w:rPr>
              <w:t xml:space="preserve"> </w:t>
            </w:r>
            <w:r w:rsidR="00026134" w:rsidRPr="00ED3A39">
              <w:rPr>
                <w:rFonts w:ascii="Times New Roman" w:hAnsi="Times New Roman"/>
                <w:i/>
                <w:sz w:val="24"/>
                <w:szCs w:val="24"/>
                <w:lang w:eastAsia="lv-LV"/>
              </w:rPr>
              <w:t>euro</w:t>
            </w:r>
            <w:r w:rsidR="00C7316A">
              <w:rPr>
                <w:rFonts w:ascii="Times New Roman" w:hAnsi="Times New Roman"/>
                <w:i/>
                <w:sz w:val="24"/>
                <w:szCs w:val="24"/>
                <w:lang w:eastAsia="lv-LV"/>
              </w:rPr>
              <w:t xml:space="preserve"> </w:t>
            </w:r>
            <w:r w:rsidR="00C7316A" w:rsidRPr="00ED3A39">
              <w:rPr>
                <w:rFonts w:ascii="Times New Roman" w:hAnsi="Times New Roman"/>
                <w:sz w:val="24"/>
                <w:szCs w:val="24"/>
                <w:lang w:eastAsia="lv-LV"/>
              </w:rPr>
              <w:t xml:space="preserve">jeb </w:t>
            </w:r>
            <w:r w:rsidR="00465014">
              <w:rPr>
                <w:rFonts w:ascii="Times New Roman" w:hAnsi="Times New Roman"/>
                <w:sz w:val="24"/>
                <w:szCs w:val="24"/>
                <w:lang w:eastAsia="lv-LV"/>
              </w:rPr>
              <w:t>10,59</w:t>
            </w:r>
            <w:r w:rsidR="00AC7287">
              <w:rPr>
                <w:rFonts w:ascii="Times New Roman" w:hAnsi="Times New Roman"/>
                <w:sz w:val="24"/>
                <w:szCs w:val="24"/>
                <w:lang w:eastAsia="lv-LV"/>
              </w:rPr>
              <w:t xml:space="preserve"> </w:t>
            </w:r>
            <w:r w:rsidR="00C7316A" w:rsidRPr="00ED3A39">
              <w:rPr>
                <w:rFonts w:ascii="Times New Roman" w:hAnsi="Times New Roman"/>
                <w:sz w:val="24"/>
                <w:szCs w:val="24"/>
                <w:lang w:eastAsia="lv-LV"/>
              </w:rPr>
              <w:t>%</w:t>
            </w:r>
            <w:r w:rsidRPr="00ED3A39">
              <w:rPr>
                <w:rFonts w:ascii="Times New Roman" w:hAnsi="Times New Roman"/>
                <w:sz w:val="24"/>
                <w:szCs w:val="24"/>
                <w:lang w:eastAsia="lv-LV"/>
              </w:rPr>
              <w:t>, saistībā</w:t>
            </w:r>
            <w:r w:rsidR="006971BE" w:rsidRPr="00ED3A39">
              <w:rPr>
                <w:rFonts w:ascii="Times New Roman" w:hAnsi="Times New Roman"/>
                <w:sz w:val="24"/>
                <w:szCs w:val="24"/>
                <w:lang w:eastAsia="lv-LV"/>
              </w:rPr>
              <w:t xml:space="preserve"> ar </w:t>
            </w:r>
            <w:r w:rsidR="00824BF8" w:rsidRPr="00ED3A39">
              <w:rPr>
                <w:rFonts w:ascii="Times New Roman" w:hAnsi="Times New Roman"/>
                <w:sz w:val="24"/>
                <w:szCs w:val="24"/>
                <w:lang w:eastAsia="lv-LV"/>
              </w:rPr>
              <w:t xml:space="preserve">sociālajā jomā nodarbināto </w:t>
            </w:r>
            <w:r w:rsidR="006971BE" w:rsidRPr="00ED3A39">
              <w:rPr>
                <w:rFonts w:ascii="Times New Roman" w:hAnsi="Times New Roman"/>
                <w:sz w:val="24"/>
                <w:szCs w:val="24"/>
                <w:lang w:eastAsia="lv-LV"/>
              </w:rPr>
              <w:t xml:space="preserve">darbinieku </w:t>
            </w:r>
            <w:r w:rsidR="00541082" w:rsidRPr="00ED3A39">
              <w:rPr>
                <w:rFonts w:ascii="Times New Roman" w:hAnsi="Times New Roman"/>
                <w:sz w:val="24"/>
                <w:szCs w:val="24"/>
                <w:lang w:eastAsia="lv-LV"/>
              </w:rPr>
              <w:t xml:space="preserve">mēnešalgu </w:t>
            </w:r>
            <w:r w:rsidR="006971BE" w:rsidRPr="00ED3A39">
              <w:rPr>
                <w:rFonts w:ascii="Times New Roman" w:hAnsi="Times New Roman"/>
                <w:sz w:val="24"/>
                <w:szCs w:val="24"/>
                <w:lang w:eastAsia="lv-LV"/>
              </w:rPr>
              <w:t xml:space="preserve">palielinājumu </w:t>
            </w:r>
            <w:r w:rsidR="00541082" w:rsidRPr="00ED3A39">
              <w:rPr>
                <w:rFonts w:ascii="Times New Roman" w:hAnsi="Times New Roman"/>
                <w:sz w:val="24"/>
                <w:szCs w:val="24"/>
                <w:lang w:eastAsia="lv-LV"/>
              </w:rPr>
              <w:t>nozarē</w:t>
            </w:r>
            <w:r w:rsidR="00C75BB6">
              <w:rPr>
                <w:rFonts w:ascii="Times New Roman" w:hAnsi="Times New Roman"/>
                <w:sz w:val="24"/>
                <w:szCs w:val="24"/>
                <w:lang w:eastAsia="lv-LV"/>
              </w:rPr>
              <w:t>;</w:t>
            </w:r>
          </w:p>
          <w:p w14:paraId="31423009" w14:textId="503EA147" w:rsidR="006971BE" w:rsidRPr="00ED3A39" w:rsidRDefault="00C75BB6" w:rsidP="00ED3A39">
            <w:pPr>
              <w:pStyle w:val="ListParagraph"/>
              <w:numPr>
                <w:ilvl w:val="0"/>
                <w:numId w:val="34"/>
              </w:numPr>
              <w:jc w:val="both"/>
              <w:rPr>
                <w:rFonts w:ascii="Times New Roman" w:hAnsi="Times New Roman"/>
                <w:sz w:val="24"/>
                <w:szCs w:val="24"/>
                <w:lang w:eastAsia="lv-LV"/>
              </w:rPr>
            </w:pPr>
            <w:r>
              <w:rPr>
                <w:rFonts w:ascii="Times New Roman" w:hAnsi="Times New Roman"/>
                <w:sz w:val="24"/>
                <w:szCs w:val="24"/>
                <w:lang w:eastAsia="lv-LV"/>
              </w:rPr>
              <w:t>p</w:t>
            </w:r>
            <w:r w:rsidR="00FD0FA6" w:rsidRPr="00ED3A39">
              <w:rPr>
                <w:rFonts w:ascii="Times New Roman" w:hAnsi="Times New Roman"/>
                <w:sz w:val="24"/>
                <w:szCs w:val="24"/>
                <w:lang w:eastAsia="lv-LV"/>
              </w:rPr>
              <w:t>rec</w:t>
            </w:r>
            <w:r w:rsidR="00C7316A" w:rsidRPr="00ED3A39">
              <w:rPr>
                <w:rFonts w:ascii="Times New Roman" w:hAnsi="Times New Roman"/>
                <w:sz w:val="24"/>
                <w:szCs w:val="24"/>
                <w:lang w:eastAsia="lv-LV"/>
              </w:rPr>
              <w:t xml:space="preserve">es </w:t>
            </w:r>
            <w:r w:rsidR="00FD0FA6" w:rsidRPr="00ED3A39">
              <w:rPr>
                <w:rFonts w:ascii="Times New Roman" w:hAnsi="Times New Roman"/>
                <w:sz w:val="24"/>
                <w:szCs w:val="24"/>
                <w:lang w:eastAsia="lv-LV"/>
              </w:rPr>
              <w:t xml:space="preserve"> un pakalpojumi </w:t>
            </w:r>
            <w:r w:rsidR="00465014">
              <w:rPr>
                <w:rFonts w:ascii="Times New Roman" w:hAnsi="Times New Roman"/>
                <w:sz w:val="24"/>
                <w:szCs w:val="24"/>
                <w:lang w:eastAsia="lv-LV"/>
              </w:rPr>
              <w:t>samaz</w:t>
            </w:r>
            <w:r w:rsidR="004C5122">
              <w:rPr>
                <w:rFonts w:ascii="Times New Roman" w:hAnsi="Times New Roman"/>
                <w:sz w:val="24"/>
                <w:szCs w:val="24"/>
                <w:lang w:eastAsia="lv-LV"/>
              </w:rPr>
              <w:t>i</w:t>
            </w:r>
            <w:r w:rsidR="00FD0FA6" w:rsidRPr="00ED3A39">
              <w:rPr>
                <w:rFonts w:ascii="Times New Roman" w:hAnsi="Times New Roman"/>
                <w:sz w:val="24"/>
                <w:szCs w:val="24"/>
                <w:lang w:eastAsia="lv-LV"/>
              </w:rPr>
              <w:t>nāju</w:t>
            </w:r>
            <w:r w:rsidR="00C7316A" w:rsidRPr="00C7316A">
              <w:rPr>
                <w:rFonts w:ascii="Times New Roman" w:hAnsi="Times New Roman"/>
                <w:sz w:val="24"/>
                <w:szCs w:val="24"/>
                <w:lang w:eastAsia="lv-LV"/>
              </w:rPr>
              <w:t>šies</w:t>
            </w:r>
            <w:r w:rsidR="00FD0FA6" w:rsidRPr="00ED3A39">
              <w:rPr>
                <w:rFonts w:ascii="Times New Roman" w:hAnsi="Times New Roman"/>
                <w:sz w:val="24"/>
                <w:szCs w:val="24"/>
                <w:lang w:eastAsia="lv-LV"/>
              </w:rPr>
              <w:t xml:space="preserve"> par </w:t>
            </w:r>
            <w:r w:rsidR="00465014">
              <w:rPr>
                <w:rFonts w:ascii="Times New Roman" w:hAnsi="Times New Roman"/>
                <w:sz w:val="24"/>
                <w:szCs w:val="24"/>
                <w:lang w:eastAsia="lv-LV"/>
              </w:rPr>
              <w:t>57 583</w:t>
            </w:r>
            <w:r w:rsidR="00FD0FA6" w:rsidRPr="00ED3A39">
              <w:rPr>
                <w:rFonts w:ascii="Times New Roman" w:hAnsi="Times New Roman"/>
                <w:sz w:val="24"/>
                <w:szCs w:val="24"/>
                <w:lang w:eastAsia="lv-LV"/>
              </w:rPr>
              <w:t xml:space="preserve"> </w:t>
            </w:r>
            <w:r w:rsidR="00026134" w:rsidRPr="00ED3A39">
              <w:rPr>
                <w:rFonts w:ascii="Times New Roman" w:hAnsi="Times New Roman"/>
                <w:i/>
                <w:sz w:val="24"/>
                <w:szCs w:val="24"/>
                <w:lang w:eastAsia="lv-LV"/>
              </w:rPr>
              <w:t>euro</w:t>
            </w:r>
            <w:r w:rsidR="00C7316A">
              <w:rPr>
                <w:rFonts w:ascii="Times New Roman" w:hAnsi="Times New Roman"/>
                <w:i/>
                <w:sz w:val="24"/>
                <w:szCs w:val="24"/>
                <w:lang w:eastAsia="lv-LV"/>
              </w:rPr>
              <w:t xml:space="preserve"> </w:t>
            </w:r>
            <w:r w:rsidR="00C7316A" w:rsidRPr="00ED3A39">
              <w:rPr>
                <w:rFonts w:ascii="Times New Roman" w:hAnsi="Times New Roman"/>
                <w:sz w:val="24"/>
                <w:szCs w:val="24"/>
                <w:lang w:eastAsia="lv-LV"/>
              </w:rPr>
              <w:t xml:space="preserve">jeb </w:t>
            </w:r>
            <w:r w:rsidR="00465014">
              <w:rPr>
                <w:rFonts w:ascii="Times New Roman" w:hAnsi="Times New Roman"/>
                <w:sz w:val="24"/>
                <w:szCs w:val="24"/>
                <w:lang w:eastAsia="lv-LV"/>
              </w:rPr>
              <w:t>3,9</w:t>
            </w:r>
            <w:r w:rsidR="00D5385D">
              <w:rPr>
                <w:rFonts w:ascii="Times New Roman" w:hAnsi="Times New Roman"/>
                <w:sz w:val="24"/>
                <w:szCs w:val="24"/>
                <w:lang w:eastAsia="lv-LV"/>
              </w:rPr>
              <w:t xml:space="preserve"> </w:t>
            </w:r>
            <w:r w:rsidR="00C7316A" w:rsidRPr="00ED3A39">
              <w:rPr>
                <w:rFonts w:ascii="Times New Roman" w:hAnsi="Times New Roman"/>
                <w:sz w:val="24"/>
                <w:szCs w:val="24"/>
                <w:lang w:eastAsia="lv-LV"/>
              </w:rPr>
              <w:t>%</w:t>
            </w:r>
            <w:r w:rsidR="00C7316A">
              <w:rPr>
                <w:rFonts w:ascii="Times New Roman" w:hAnsi="Times New Roman"/>
                <w:i/>
                <w:sz w:val="24"/>
                <w:szCs w:val="24"/>
                <w:lang w:eastAsia="lv-LV"/>
              </w:rPr>
              <w:t xml:space="preserve"> </w:t>
            </w:r>
            <w:r w:rsidR="006971BE" w:rsidRPr="00ED3A39">
              <w:rPr>
                <w:rFonts w:ascii="Times New Roman" w:hAnsi="Times New Roman"/>
                <w:sz w:val="24"/>
                <w:szCs w:val="24"/>
                <w:lang w:eastAsia="lv-LV"/>
              </w:rPr>
              <w:t>, sakarā ar</w:t>
            </w:r>
            <w:r w:rsidR="00465014">
              <w:rPr>
                <w:rFonts w:ascii="Times New Roman" w:hAnsi="Times New Roman"/>
                <w:sz w:val="24"/>
                <w:szCs w:val="24"/>
                <w:lang w:eastAsia="lv-LV"/>
              </w:rPr>
              <w:t xml:space="preserve"> mazāku</w:t>
            </w:r>
            <w:r w:rsidR="006971BE" w:rsidRPr="00ED3A39">
              <w:rPr>
                <w:rFonts w:ascii="Times New Roman" w:hAnsi="Times New Roman"/>
                <w:sz w:val="24"/>
                <w:szCs w:val="24"/>
                <w:lang w:eastAsia="lv-LV"/>
              </w:rPr>
              <w:t xml:space="preserve"> </w:t>
            </w:r>
            <w:r w:rsidR="00FD0FA6" w:rsidRPr="00ED3A39">
              <w:rPr>
                <w:rFonts w:ascii="Times New Roman" w:hAnsi="Times New Roman"/>
                <w:sz w:val="24"/>
                <w:szCs w:val="24"/>
                <w:lang w:eastAsia="lv-LV"/>
              </w:rPr>
              <w:t xml:space="preserve"> </w:t>
            </w:r>
            <w:r w:rsidR="00DF742E">
              <w:rPr>
                <w:rFonts w:ascii="Times New Roman" w:hAnsi="Times New Roman"/>
                <w:sz w:val="24"/>
                <w:szCs w:val="24"/>
                <w:lang w:eastAsia="lv-LV"/>
              </w:rPr>
              <w:t>infrastruktū</w:t>
            </w:r>
            <w:r w:rsidR="001534A1">
              <w:rPr>
                <w:rFonts w:ascii="Times New Roman" w:hAnsi="Times New Roman"/>
                <w:sz w:val="24"/>
                <w:szCs w:val="24"/>
                <w:lang w:eastAsia="lv-LV"/>
              </w:rPr>
              <w:t xml:space="preserve">ras </w:t>
            </w:r>
            <w:r w:rsidR="00DF742E">
              <w:rPr>
                <w:rFonts w:ascii="Times New Roman" w:hAnsi="Times New Roman"/>
                <w:sz w:val="24"/>
                <w:szCs w:val="24"/>
                <w:lang w:eastAsia="lv-LV"/>
              </w:rPr>
              <w:t xml:space="preserve"> pasākumu ieviešanu filiālēs</w:t>
            </w:r>
            <w:r>
              <w:rPr>
                <w:rFonts w:ascii="Times New Roman" w:hAnsi="Times New Roman"/>
                <w:sz w:val="24"/>
                <w:szCs w:val="24"/>
                <w:lang w:eastAsia="lv-LV"/>
              </w:rPr>
              <w:t>;</w:t>
            </w:r>
          </w:p>
          <w:p w14:paraId="65590018" w14:textId="0B0D8245" w:rsidR="00C7316A" w:rsidRPr="00D8722D" w:rsidRDefault="00FD0FA6" w:rsidP="00C7316A">
            <w:pPr>
              <w:pStyle w:val="ListParagraph"/>
              <w:widowControl w:val="0"/>
              <w:numPr>
                <w:ilvl w:val="0"/>
                <w:numId w:val="34"/>
              </w:numPr>
              <w:jc w:val="both"/>
              <w:rPr>
                <w:rFonts w:ascii="Times New Roman" w:hAnsi="Times New Roman"/>
                <w:bCs/>
                <w:sz w:val="24"/>
                <w:szCs w:val="24"/>
              </w:rPr>
            </w:pPr>
            <w:r w:rsidRPr="00ED3A39">
              <w:rPr>
                <w:rFonts w:ascii="Times New Roman" w:hAnsi="Times New Roman"/>
                <w:sz w:val="24"/>
                <w:szCs w:val="24"/>
                <w:lang w:eastAsia="lv-LV"/>
              </w:rPr>
              <w:t xml:space="preserve">kapitālie izdevumi </w:t>
            </w:r>
            <w:r w:rsidR="0038454A">
              <w:rPr>
                <w:rFonts w:ascii="Times New Roman" w:hAnsi="Times New Roman"/>
                <w:sz w:val="24"/>
                <w:szCs w:val="24"/>
                <w:lang w:eastAsia="lv-LV"/>
              </w:rPr>
              <w:t>paliel</w:t>
            </w:r>
            <w:r w:rsidR="006C6175">
              <w:rPr>
                <w:rFonts w:ascii="Times New Roman" w:hAnsi="Times New Roman"/>
                <w:sz w:val="24"/>
                <w:szCs w:val="24"/>
                <w:lang w:eastAsia="lv-LV"/>
              </w:rPr>
              <w:t>i</w:t>
            </w:r>
            <w:r w:rsidRPr="00ED3A39">
              <w:rPr>
                <w:rFonts w:ascii="Times New Roman" w:hAnsi="Times New Roman"/>
                <w:sz w:val="24"/>
                <w:szCs w:val="24"/>
                <w:lang w:eastAsia="lv-LV"/>
              </w:rPr>
              <w:t>nāju</w:t>
            </w:r>
            <w:r w:rsidR="00C7316A">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38454A">
              <w:rPr>
                <w:rFonts w:ascii="Times New Roman" w:hAnsi="Times New Roman"/>
                <w:sz w:val="24"/>
                <w:szCs w:val="24"/>
                <w:lang w:eastAsia="lv-LV"/>
              </w:rPr>
              <w:t>44 816</w:t>
            </w:r>
            <w:r w:rsidRPr="00ED3A39">
              <w:rPr>
                <w:rFonts w:ascii="Times New Roman" w:hAnsi="Times New Roman"/>
                <w:sz w:val="24"/>
                <w:szCs w:val="24"/>
                <w:lang w:eastAsia="lv-LV"/>
              </w:rPr>
              <w:t xml:space="preserve"> </w:t>
            </w:r>
            <w:r w:rsidR="00026134" w:rsidRPr="00ED3A39">
              <w:rPr>
                <w:rFonts w:ascii="Times New Roman" w:hAnsi="Times New Roman"/>
                <w:i/>
                <w:sz w:val="24"/>
                <w:szCs w:val="24"/>
                <w:lang w:eastAsia="lv-LV"/>
              </w:rPr>
              <w:t>euro</w:t>
            </w:r>
            <w:r w:rsidR="00C7316A">
              <w:rPr>
                <w:rFonts w:ascii="Times New Roman" w:hAnsi="Times New Roman"/>
                <w:i/>
                <w:sz w:val="24"/>
                <w:szCs w:val="24"/>
                <w:lang w:eastAsia="lv-LV"/>
              </w:rPr>
              <w:t xml:space="preserve"> </w:t>
            </w:r>
            <w:r w:rsidR="00C7316A" w:rsidRPr="00ED3A39">
              <w:rPr>
                <w:rFonts w:ascii="Times New Roman" w:hAnsi="Times New Roman"/>
                <w:sz w:val="24"/>
                <w:szCs w:val="24"/>
                <w:lang w:eastAsia="lv-LV"/>
              </w:rPr>
              <w:t xml:space="preserve">jeb </w:t>
            </w:r>
            <w:r w:rsidR="0038454A">
              <w:rPr>
                <w:rFonts w:ascii="Times New Roman" w:hAnsi="Times New Roman"/>
                <w:sz w:val="24"/>
                <w:szCs w:val="24"/>
                <w:lang w:eastAsia="lv-LV"/>
              </w:rPr>
              <w:t>62,1</w:t>
            </w:r>
            <w:r w:rsidR="00D5385D">
              <w:rPr>
                <w:rFonts w:ascii="Times New Roman" w:hAnsi="Times New Roman"/>
                <w:sz w:val="24"/>
                <w:szCs w:val="24"/>
                <w:lang w:eastAsia="lv-LV"/>
              </w:rPr>
              <w:t xml:space="preserve"> </w:t>
            </w:r>
            <w:r w:rsidR="00C7316A" w:rsidRPr="00ED3A39">
              <w:rPr>
                <w:rFonts w:ascii="Times New Roman" w:hAnsi="Times New Roman"/>
                <w:sz w:val="24"/>
                <w:szCs w:val="24"/>
                <w:lang w:eastAsia="lv-LV"/>
              </w:rPr>
              <w:t xml:space="preserve">%, saistībā ar </w:t>
            </w:r>
            <w:r w:rsidR="0038454A">
              <w:rPr>
                <w:rFonts w:ascii="Times New Roman" w:hAnsi="Times New Roman"/>
                <w:sz w:val="24"/>
                <w:szCs w:val="24"/>
                <w:lang w:eastAsia="lv-LV"/>
              </w:rPr>
              <w:t>lielāku</w:t>
            </w:r>
            <w:r w:rsidR="001534A1">
              <w:rPr>
                <w:rFonts w:ascii="Times New Roman" w:hAnsi="Times New Roman"/>
                <w:sz w:val="24"/>
                <w:szCs w:val="24"/>
                <w:lang w:eastAsia="lv-LV"/>
              </w:rPr>
              <w:t xml:space="preserve"> </w:t>
            </w:r>
            <w:r w:rsidR="008265CA">
              <w:rPr>
                <w:rFonts w:ascii="Times New Roman" w:hAnsi="Times New Roman"/>
                <w:sz w:val="24"/>
                <w:szCs w:val="24"/>
                <w:lang w:eastAsia="lv-LV"/>
              </w:rPr>
              <w:t xml:space="preserve"> kapitālo iegāžu</w:t>
            </w:r>
            <w:r w:rsidR="001534A1">
              <w:rPr>
                <w:rFonts w:ascii="Times New Roman" w:hAnsi="Times New Roman"/>
                <w:sz w:val="24"/>
                <w:szCs w:val="24"/>
                <w:lang w:eastAsia="lv-LV"/>
              </w:rPr>
              <w:t xml:space="preserve"> apjomu pēc noslēgtiem līgumiem </w:t>
            </w:r>
            <w:r w:rsidR="00597BF1">
              <w:rPr>
                <w:rFonts w:ascii="Times New Roman" w:hAnsi="Times New Roman"/>
                <w:sz w:val="24"/>
                <w:szCs w:val="24"/>
                <w:lang w:eastAsia="lv-LV"/>
              </w:rPr>
              <w:t xml:space="preserve">infrastruktūras uzlabošanai </w:t>
            </w:r>
            <w:r w:rsidR="00D8722D">
              <w:rPr>
                <w:rFonts w:ascii="Times New Roman" w:hAnsi="Times New Roman"/>
                <w:sz w:val="24"/>
                <w:szCs w:val="24"/>
                <w:lang w:eastAsia="lv-LV"/>
              </w:rPr>
              <w:t>;</w:t>
            </w:r>
          </w:p>
          <w:p w14:paraId="204B4D89" w14:textId="274D39A5" w:rsidR="00D8722D" w:rsidRPr="00ED3A39" w:rsidRDefault="00D8722D" w:rsidP="00C7316A">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t xml:space="preserve">pensijas un sociālie pabalsti palielinājušies par 93 920 </w:t>
            </w:r>
            <w:r w:rsidRPr="00D8722D">
              <w:rPr>
                <w:rFonts w:ascii="Times New Roman" w:hAnsi="Times New Roman"/>
                <w:i/>
                <w:sz w:val="24"/>
                <w:szCs w:val="24"/>
                <w:lang w:eastAsia="lv-LV"/>
              </w:rPr>
              <w:t>euro</w:t>
            </w:r>
            <w:r>
              <w:rPr>
                <w:rFonts w:ascii="Times New Roman" w:hAnsi="Times New Roman"/>
                <w:i/>
                <w:sz w:val="24"/>
                <w:szCs w:val="24"/>
                <w:lang w:eastAsia="lv-LV"/>
              </w:rPr>
              <w:t xml:space="preserve"> </w:t>
            </w:r>
            <w:r w:rsidRPr="00D8722D">
              <w:rPr>
                <w:rFonts w:ascii="Times New Roman" w:hAnsi="Times New Roman"/>
                <w:sz w:val="24"/>
                <w:szCs w:val="24"/>
                <w:lang w:eastAsia="lv-LV"/>
              </w:rPr>
              <w:t>jeb</w:t>
            </w:r>
            <w:r>
              <w:rPr>
                <w:rFonts w:ascii="Times New Roman" w:hAnsi="Times New Roman"/>
                <w:i/>
                <w:sz w:val="24"/>
                <w:szCs w:val="24"/>
                <w:lang w:eastAsia="lv-LV"/>
              </w:rPr>
              <w:t xml:space="preserve"> </w:t>
            </w:r>
            <w:r w:rsidRPr="00D8722D">
              <w:rPr>
                <w:rFonts w:ascii="Times New Roman" w:hAnsi="Times New Roman"/>
                <w:sz w:val="24"/>
                <w:szCs w:val="24"/>
                <w:lang w:eastAsia="lv-LV"/>
              </w:rPr>
              <w:t>59 %</w:t>
            </w:r>
            <w:r>
              <w:rPr>
                <w:rFonts w:ascii="Times New Roman" w:hAnsi="Times New Roman"/>
                <w:sz w:val="24"/>
                <w:szCs w:val="24"/>
                <w:lang w:eastAsia="lv-LV"/>
              </w:rPr>
              <w:t xml:space="preserve">, sakarā ar </w:t>
            </w:r>
            <w:r w:rsidR="00462212">
              <w:rPr>
                <w:rFonts w:ascii="Times New Roman" w:hAnsi="Times New Roman"/>
                <w:sz w:val="24"/>
                <w:szCs w:val="24"/>
                <w:lang w:eastAsia="lv-LV"/>
              </w:rPr>
              <w:t>izmaiņām likumdošanā valstī.</w:t>
            </w:r>
          </w:p>
          <w:p w14:paraId="42BB63A6" w14:textId="088502F6" w:rsidR="009B6895" w:rsidRPr="001C35E3" w:rsidRDefault="009B6895" w:rsidP="00C92A3C">
            <w:pPr>
              <w:pStyle w:val="ListParagraph"/>
              <w:widowControl w:val="0"/>
              <w:jc w:val="both"/>
              <w:rPr>
                <w:rFonts w:ascii="Times New Roman" w:hAnsi="Times New Roman" w:cs="Times New Roman"/>
              </w:rPr>
            </w:pPr>
          </w:p>
        </w:tc>
      </w:tr>
      <w:tr w:rsidR="00973B19" w:rsidRPr="00CC77D5" w14:paraId="38EF9CCD" w14:textId="77777777" w:rsidTr="00D90F06">
        <w:trPr>
          <w:gridAfter w:val="1"/>
          <w:wAfter w:w="13" w:type="dxa"/>
        </w:trPr>
        <w:tc>
          <w:tcPr>
            <w:tcW w:w="6947" w:type="dxa"/>
          </w:tcPr>
          <w:p w14:paraId="4CB65FCC" w14:textId="03EA4AA7"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lastRenderedPageBreak/>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5527B1E5" w:rsidR="002A5ECA" w:rsidRPr="00CC77D5" w:rsidRDefault="002A5ECA" w:rsidP="002D73A4">
            <w:pPr>
              <w:pStyle w:val="ListParagraph"/>
              <w:tabs>
                <w:tab w:val="left" w:pos="993"/>
              </w:tabs>
              <w:spacing w:before="240"/>
              <w:ind w:left="287"/>
              <w:rPr>
                <w:rFonts w:ascii="Times New Roman" w:hAnsi="Times New Roman" w:cs="Times New Roman"/>
              </w:rPr>
            </w:pPr>
          </w:p>
        </w:tc>
        <w:tc>
          <w:tcPr>
            <w:tcW w:w="7046" w:type="dxa"/>
          </w:tcPr>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t>Izmaiņas pozitīvi sekmē rezultatīvo rādītāju vērtību, kā arī pozitīvi sekmē darbinieku darba kvalitāti.</w:t>
            </w:r>
            <w:r w:rsidRPr="00C7316A">
              <w:rPr>
                <w:rFonts w:ascii="Times New Roman" w:hAnsi="Times New Roman" w:cs="Times New Roman"/>
              </w:rPr>
              <w:t xml:space="preserve"> </w:t>
            </w:r>
          </w:p>
        </w:tc>
      </w:tr>
      <w:tr w:rsidR="00973B19" w:rsidRPr="00CC77D5" w14:paraId="7576AC50" w14:textId="77777777" w:rsidTr="00D90F06">
        <w:trPr>
          <w:gridAfter w:val="1"/>
          <w:wAfter w:w="13" w:type="dxa"/>
        </w:trPr>
        <w:tc>
          <w:tcPr>
            <w:tcW w:w="6947"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D90F06">
        <w:trPr>
          <w:gridAfter w:val="1"/>
          <w:wAfter w:w="13" w:type="dxa"/>
        </w:trPr>
        <w:tc>
          <w:tcPr>
            <w:tcW w:w="6947" w:type="dxa"/>
          </w:tcPr>
          <w:p w14:paraId="039E1B5F" w14:textId="5480F2C6" w:rsidR="00973B19" w:rsidRPr="00CC77D5" w:rsidRDefault="0072466B"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046" w:type="dxa"/>
          </w:tcPr>
          <w:p w14:paraId="589F0369" w14:textId="0AC6BF5E" w:rsidR="00441A16" w:rsidRPr="002F3501" w:rsidRDefault="00C7316A" w:rsidP="00441A16">
            <w:pPr>
              <w:tabs>
                <w:tab w:val="left" w:pos="993"/>
              </w:tabs>
              <w:rPr>
                <w:rFonts w:ascii="Times New Roman" w:hAnsi="Times New Roman" w:cs="Times New Roman"/>
              </w:rPr>
            </w:pPr>
            <w:r w:rsidRPr="002F3501">
              <w:rPr>
                <w:rFonts w:ascii="Times New Roman" w:hAnsi="Times New Roman" w:cs="Times New Roman"/>
              </w:rPr>
              <w:t>20</w:t>
            </w:r>
            <w:r w:rsidR="009952FD" w:rsidRPr="002F3501">
              <w:rPr>
                <w:rFonts w:ascii="Times New Roman" w:hAnsi="Times New Roman" w:cs="Times New Roman"/>
              </w:rPr>
              <w:t>20</w:t>
            </w:r>
            <w:r w:rsidRPr="002F3501">
              <w:rPr>
                <w:rFonts w:ascii="Times New Roman" w:hAnsi="Times New Roman" w:cs="Times New Roman"/>
              </w:rPr>
              <w:t xml:space="preserve">.gada </w:t>
            </w:r>
            <w:r w:rsidR="00BE348A">
              <w:rPr>
                <w:rFonts w:ascii="Times New Roman" w:hAnsi="Times New Roman" w:cs="Times New Roman"/>
              </w:rPr>
              <w:t>9</w:t>
            </w:r>
            <w:r w:rsidRPr="002F3501">
              <w:rPr>
                <w:rFonts w:ascii="Times New Roman" w:hAnsi="Times New Roman" w:cs="Times New Roman"/>
              </w:rPr>
              <w:t xml:space="preserve"> mēnešu izdevumu plāns- </w:t>
            </w:r>
            <w:r w:rsidR="001E0240">
              <w:rPr>
                <w:rFonts w:ascii="Times New Roman" w:hAnsi="Times New Roman" w:cs="Times New Roman"/>
              </w:rPr>
              <w:t>7 095 146</w:t>
            </w:r>
            <w:r w:rsidRPr="002F3501">
              <w:rPr>
                <w:rFonts w:ascii="Times New Roman" w:hAnsi="Times New Roman" w:cs="Times New Roman"/>
              </w:rPr>
              <w:t xml:space="preserve"> euro</w:t>
            </w:r>
            <w:r w:rsidR="00196B73" w:rsidRPr="002F3501">
              <w:rPr>
                <w:rFonts w:ascii="Times New Roman" w:hAnsi="Times New Roman" w:cs="Times New Roman"/>
              </w:rPr>
              <w:t xml:space="preserve"> (1000-</w:t>
            </w:r>
            <w:r w:rsidR="008265CA" w:rsidRPr="002F3501">
              <w:rPr>
                <w:rFonts w:ascii="Times New Roman" w:hAnsi="Times New Roman" w:cs="Times New Roman"/>
              </w:rPr>
              <w:t xml:space="preserve"> </w:t>
            </w:r>
            <w:r w:rsidR="001E0240">
              <w:rPr>
                <w:rFonts w:ascii="Times New Roman" w:hAnsi="Times New Roman" w:cs="Times New Roman"/>
              </w:rPr>
              <w:t>5 293 381</w:t>
            </w:r>
            <w:r w:rsidR="00196B73" w:rsidRPr="002F3501">
              <w:rPr>
                <w:rFonts w:ascii="Times New Roman" w:hAnsi="Times New Roman" w:cs="Times New Roman"/>
              </w:rPr>
              <w:t xml:space="preserve"> euro; 2000-</w:t>
            </w:r>
            <w:r w:rsidR="005740B7">
              <w:rPr>
                <w:rFonts w:ascii="Times New Roman" w:hAnsi="Times New Roman" w:cs="Times New Roman"/>
              </w:rPr>
              <w:t>1</w:t>
            </w:r>
            <w:r w:rsidR="001E0240">
              <w:rPr>
                <w:rFonts w:ascii="Times New Roman" w:hAnsi="Times New Roman" w:cs="Times New Roman"/>
              </w:rPr>
              <w:t> 538 992</w:t>
            </w:r>
            <w:r w:rsidR="00196B73" w:rsidRPr="002F3501">
              <w:rPr>
                <w:rFonts w:ascii="Times New Roman" w:hAnsi="Times New Roman" w:cs="Times New Roman"/>
              </w:rPr>
              <w:t xml:space="preserve"> euro; 5000- </w:t>
            </w:r>
            <w:r w:rsidR="001E0240">
              <w:rPr>
                <w:rFonts w:ascii="Times New Roman" w:hAnsi="Times New Roman" w:cs="Times New Roman"/>
              </w:rPr>
              <w:t>88 353</w:t>
            </w:r>
            <w:r w:rsidR="00196B73" w:rsidRPr="002F3501">
              <w:rPr>
                <w:rFonts w:ascii="Times New Roman" w:hAnsi="Times New Roman" w:cs="Times New Roman"/>
              </w:rPr>
              <w:t xml:space="preserve"> euro</w:t>
            </w:r>
            <w:r w:rsidR="00EF5FDE">
              <w:rPr>
                <w:rFonts w:ascii="Times New Roman" w:hAnsi="Times New Roman" w:cs="Times New Roman"/>
              </w:rPr>
              <w:t xml:space="preserve">; 6000- </w:t>
            </w:r>
            <w:r w:rsidR="001E0240">
              <w:rPr>
                <w:rFonts w:ascii="Times New Roman" w:hAnsi="Times New Roman" w:cs="Times New Roman"/>
              </w:rPr>
              <w:t>174 420</w:t>
            </w:r>
            <w:r w:rsidR="00EF5FDE">
              <w:rPr>
                <w:rFonts w:ascii="Times New Roman" w:hAnsi="Times New Roman" w:cs="Times New Roman"/>
              </w:rPr>
              <w:t xml:space="preserve"> euro</w:t>
            </w:r>
            <w:r w:rsidR="00196B73" w:rsidRPr="002F3501">
              <w:rPr>
                <w:rFonts w:ascii="Times New Roman" w:hAnsi="Times New Roman" w:cs="Times New Roman"/>
              </w:rPr>
              <w:t xml:space="preserve">). </w:t>
            </w:r>
          </w:p>
          <w:p w14:paraId="133B061A" w14:textId="276558A2" w:rsidR="00196B73" w:rsidRPr="002F3501" w:rsidRDefault="009952FD" w:rsidP="00441A16">
            <w:pPr>
              <w:tabs>
                <w:tab w:val="left" w:pos="993"/>
              </w:tabs>
              <w:rPr>
                <w:rFonts w:ascii="Times New Roman" w:hAnsi="Times New Roman" w:cs="Times New Roman"/>
              </w:rPr>
            </w:pPr>
            <w:r w:rsidRPr="002F3501">
              <w:rPr>
                <w:rFonts w:ascii="Times New Roman" w:hAnsi="Times New Roman" w:cs="Times New Roman"/>
              </w:rPr>
              <w:t>2020</w:t>
            </w:r>
            <w:r w:rsidR="00196B73" w:rsidRPr="002F3501">
              <w:rPr>
                <w:rFonts w:ascii="Times New Roman" w:hAnsi="Times New Roman" w:cs="Times New Roman"/>
              </w:rPr>
              <w:t xml:space="preserve">.gada </w:t>
            </w:r>
            <w:r w:rsidR="00BE348A">
              <w:rPr>
                <w:rFonts w:ascii="Times New Roman" w:hAnsi="Times New Roman" w:cs="Times New Roman"/>
              </w:rPr>
              <w:t>9</w:t>
            </w:r>
            <w:r w:rsidR="00196B73" w:rsidRPr="002F3501">
              <w:rPr>
                <w:rFonts w:ascii="Times New Roman" w:hAnsi="Times New Roman" w:cs="Times New Roman"/>
              </w:rPr>
              <w:t xml:space="preserve"> mēnešu izdevumu izpilde- </w:t>
            </w:r>
            <w:r w:rsidR="007D0CCD">
              <w:rPr>
                <w:rFonts w:ascii="Times New Roman" w:hAnsi="Times New Roman" w:cs="Times New Roman"/>
              </w:rPr>
              <w:t>7 225 112</w:t>
            </w:r>
            <w:r w:rsidR="00196B73" w:rsidRPr="002F3501">
              <w:rPr>
                <w:rFonts w:ascii="Times New Roman" w:hAnsi="Times New Roman" w:cs="Times New Roman"/>
              </w:rPr>
              <w:t xml:space="preserve"> euro (1000-</w:t>
            </w:r>
            <w:r w:rsidR="007D0CCD">
              <w:rPr>
                <w:rFonts w:ascii="Times New Roman" w:hAnsi="Times New Roman" w:cs="Times New Roman"/>
              </w:rPr>
              <w:t>5 420 544</w:t>
            </w:r>
            <w:r w:rsidR="00196B73" w:rsidRPr="002F3501">
              <w:rPr>
                <w:rFonts w:ascii="Times New Roman" w:hAnsi="Times New Roman" w:cs="Times New Roman"/>
              </w:rPr>
              <w:t xml:space="preserve"> euro; 2000-</w:t>
            </w:r>
            <w:r w:rsidR="007D0CCD">
              <w:rPr>
                <w:rFonts w:ascii="Times New Roman" w:hAnsi="Times New Roman" w:cs="Times New Roman"/>
              </w:rPr>
              <w:t>1 434 436</w:t>
            </w:r>
            <w:r w:rsidR="00196B73" w:rsidRPr="002F3501">
              <w:rPr>
                <w:rFonts w:ascii="Times New Roman" w:hAnsi="Times New Roman" w:cs="Times New Roman"/>
              </w:rPr>
              <w:t xml:space="preserve"> euro; 5000-</w:t>
            </w:r>
            <w:r w:rsidR="007D0CCD">
              <w:rPr>
                <w:rFonts w:ascii="Times New Roman" w:hAnsi="Times New Roman" w:cs="Times New Roman"/>
              </w:rPr>
              <w:t>116 939</w:t>
            </w:r>
            <w:r w:rsidR="00196B73" w:rsidRPr="002F3501">
              <w:rPr>
                <w:rFonts w:ascii="Times New Roman" w:hAnsi="Times New Roman" w:cs="Times New Roman"/>
              </w:rPr>
              <w:t xml:space="preserve"> euro</w:t>
            </w:r>
            <w:r w:rsidR="00EF5FDE">
              <w:rPr>
                <w:rFonts w:ascii="Times New Roman" w:hAnsi="Times New Roman" w:cs="Times New Roman"/>
              </w:rPr>
              <w:t xml:space="preserve">; 6000- </w:t>
            </w:r>
            <w:r w:rsidR="007D0CCD">
              <w:rPr>
                <w:rFonts w:ascii="Times New Roman" w:hAnsi="Times New Roman" w:cs="Times New Roman"/>
              </w:rPr>
              <w:t>253 193</w:t>
            </w:r>
            <w:r w:rsidR="00EF5FDE">
              <w:rPr>
                <w:rFonts w:ascii="Times New Roman" w:hAnsi="Times New Roman" w:cs="Times New Roman"/>
              </w:rPr>
              <w:t xml:space="preserve"> euro</w:t>
            </w:r>
            <w:r w:rsidR="00196B73" w:rsidRPr="002F3501">
              <w:rPr>
                <w:rFonts w:ascii="Times New Roman" w:hAnsi="Times New Roman" w:cs="Times New Roman"/>
              </w:rPr>
              <w:t xml:space="preserve">). </w:t>
            </w:r>
          </w:p>
          <w:p w14:paraId="21ED618C" w14:textId="5210C5C8" w:rsidR="00196B73" w:rsidRPr="002F3501" w:rsidRDefault="00196B73" w:rsidP="00441A16">
            <w:pPr>
              <w:tabs>
                <w:tab w:val="left" w:pos="993"/>
              </w:tabs>
              <w:rPr>
                <w:rFonts w:ascii="Times New Roman" w:hAnsi="Times New Roman" w:cs="Times New Roman"/>
              </w:rPr>
            </w:pPr>
            <w:r w:rsidRPr="002F3501">
              <w:rPr>
                <w:rFonts w:ascii="Times New Roman" w:hAnsi="Times New Roman" w:cs="Times New Roman"/>
              </w:rPr>
              <w:t>20</w:t>
            </w:r>
            <w:r w:rsidR="002E6A33" w:rsidRPr="002F3501">
              <w:rPr>
                <w:rFonts w:ascii="Times New Roman" w:hAnsi="Times New Roman" w:cs="Times New Roman"/>
              </w:rPr>
              <w:t>20</w:t>
            </w:r>
            <w:r w:rsidRPr="002F3501">
              <w:rPr>
                <w:rFonts w:ascii="Times New Roman" w:hAnsi="Times New Roman" w:cs="Times New Roman"/>
              </w:rPr>
              <w:t xml:space="preserve">.gada izdevumu izpilde ir par </w:t>
            </w:r>
            <w:r w:rsidR="001E0240">
              <w:rPr>
                <w:rFonts w:ascii="Times New Roman" w:hAnsi="Times New Roman" w:cs="Times New Roman"/>
              </w:rPr>
              <w:t>129 966</w:t>
            </w:r>
            <w:r w:rsidRPr="002F3501">
              <w:rPr>
                <w:rFonts w:ascii="Times New Roman" w:hAnsi="Times New Roman" w:cs="Times New Roman"/>
              </w:rPr>
              <w:t xml:space="preserve"> euro jeb </w:t>
            </w:r>
            <w:r w:rsidR="00EF5FDE" w:rsidRPr="0062399D">
              <w:rPr>
                <w:rFonts w:ascii="Times New Roman" w:hAnsi="Times New Roman" w:cs="Times New Roman"/>
              </w:rPr>
              <w:t>1</w:t>
            </w:r>
            <w:r w:rsidR="0062399D" w:rsidRPr="0062399D">
              <w:rPr>
                <w:rFonts w:ascii="Times New Roman" w:hAnsi="Times New Roman" w:cs="Times New Roman"/>
              </w:rPr>
              <w:t>,8</w:t>
            </w:r>
            <w:r w:rsidR="001E0240">
              <w:rPr>
                <w:rFonts w:ascii="Times New Roman" w:hAnsi="Times New Roman" w:cs="Times New Roman"/>
              </w:rPr>
              <w:t>3</w:t>
            </w:r>
            <w:r w:rsidR="0062399D" w:rsidRPr="0062399D">
              <w:rPr>
                <w:rFonts w:ascii="Times New Roman" w:hAnsi="Times New Roman" w:cs="Times New Roman"/>
              </w:rPr>
              <w:t xml:space="preserve"> </w:t>
            </w:r>
            <w:r w:rsidR="00662367" w:rsidRPr="0062399D">
              <w:rPr>
                <w:rFonts w:ascii="Times New Roman" w:hAnsi="Times New Roman" w:cs="Times New Roman"/>
              </w:rPr>
              <w:t>%</w:t>
            </w:r>
            <w:r w:rsidRPr="0062399D">
              <w:rPr>
                <w:rFonts w:ascii="Times New Roman" w:hAnsi="Times New Roman" w:cs="Times New Roman"/>
              </w:rPr>
              <w:t xml:space="preserve"> </w:t>
            </w:r>
            <w:r w:rsidR="001E0240">
              <w:rPr>
                <w:rFonts w:ascii="Times New Roman" w:hAnsi="Times New Roman" w:cs="Times New Roman"/>
              </w:rPr>
              <w:t>lielāka</w:t>
            </w:r>
            <w:r w:rsidRPr="002F3501">
              <w:rPr>
                <w:rFonts w:ascii="Times New Roman" w:hAnsi="Times New Roman" w:cs="Times New Roman"/>
              </w:rPr>
              <w:t xml:space="preserve"> nekā plānots. </w:t>
            </w:r>
          </w:p>
          <w:p w14:paraId="3E55384C" w14:textId="77777777" w:rsidR="00196B73" w:rsidRPr="002F3501" w:rsidRDefault="00196B73" w:rsidP="00441A16">
            <w:pPr>
              <w:tabs>
                <w:tab w:val="left" w:pos="993"/>
              </w:tabs>
              <w:rPr>
                <w:rFonts w:ascii="Times New Roman" w:hAnsi="Times New Roman" w:cs="Times New Roman"/>
              </w:rPr>
            </w:pPr>
          </w:p>
          <w:p w14:paraId="1D7BA398" w14:textId="77777777" w:rsidR="00196B73" w:rsidRPr="002F3501" w:rsidRDefault="00196B73" w:rsidP="00441A16">
            <w:pPr>
              <w:tabs>
                <w:tab w:val="left" w:pos="993"/>
              </w:tabs>
              <w:rPr>
                <w:rFonts w:ascii="Times New Roman" w:hAnsi="Times New Roman" w:cs="Times New Roman"/>
              </w:rPr>
            </w:pPr>
            <w:r w:rsidRPr="002F3501">
              <w:rPr>
                <w:rFonts w:ascii="Times New Roman" w:hAnsi="Times New Roman" w:cs="Times New Roman"/>
              </w:rPr>
              <w:t xml:space="preserve">Izmaiņu ietekmējošie faktori: </w:t>
            </w:r>
          </w:p>
          <w:p w14:paraId="688062BE" w14:textId="4E8E775B" w:rsidR="001E0240" w:rsidRDefault="00C621F7" w:rsidP="00196B73">
            <w:pPr>
              <w:pStyle w:val="ListParagraph"/>
              <w:numPr>
                <w:ilvl w:val="0"/>
                <w:numId w:val="36"/>
              </w:numPr>
              <w:tabs>
                <w:tab w:val="left" w:pos="993"/>
              </w:tabs>
              <w:rPr>
                <w:rFonts w:ascii="Times New Roman" w:hAnsi="Times New Roman" w:cs="Times New Roman"/>
              </w:rPr>
            </w:pPr>
            <w:r w:rsidRPr="002F3501">
              <w:rPr>
                <w:rFonts w:ascii="Times New Roman" w:hAnsi="Times New Roman" w:cs="Times New Roman"/>
              </w:rPr>
              <w:t xml:space="preserve">Atlīdzības izdevumu izpilde ir par </w:t>
            </w:r>
            <w:r>
              <w:rPr>
                <w:rFonts w:ascii="Times New Roman" w:hAnsi="Times New Roman" w:cs="Times New Roman"/>
              </w:rPr>
              <w:t>127 163</w:t>
            </w:r>
            <w:r w:rsidRPr="002F3501">
              <w:rPr>
                <w:rFonts w:ascii="Times New Roman" w:hAnsi="Times New Roman" w:cs="Times New Roman"/>
              </w:rPr>
              <w:t xml:space="preserve"> euro  jeb </w:t>
            </w:r>
            <w:r>
              <w:rPr>
                <w:rFonts w:ascii="Times New Roman" w:hAnsi="Times New Roman" w:cs="Times New Roman"/>
              </w:rPr>
              <w:t>2,4</w:t>
            </w:r>
            <w:r w:rsidRPr="002F3501">
              <w:rPr>
                <w:rFonts w:ascii="Times New Roman" w:hAnsi="Times New Roman" w:cs="Times New Roman"/>
              </w:rPr>
              <w:t xml:space="preserve"> % </w:t>
            </w:r>
            <w:r>
              <w:rPr>
                <w:rFonts w:ascii="Times New Roman" w:hAnsi="Times New Roman" w:cs="Times New Roman"/>
              </w:rPr>
              <w:t>lielāka</w:t>
            </w:r>
            <w:r w:rsidRPr="002F3501">
              <w:rPr>
                <w:rFonts w:ascii="Times New Roman" w:hAnsi="Times New Roman" w:cs="Times New Roman"/>
              </w:rPr>
              <w:t xml:space="preserve"> nekā plānots, saistībā ar </w:t>
            </w:r>
            <w:r>
              <w:rPr>
                <w:rFonts w:ascii="Times New Roman" w:hAnsi="Times New Roman" w:cs="Times New Roman"/>
              </w:rPr>
              <w:t xml:space="preserve">to, ka </w:t>
            </w:r>
            <w:r w:rsidRPr="002F3501">
              <w:rPr>
                <w:rFonts w:ascii="Times New Roman" w:hAnsi="Times New Roman" w:cs="Times New Roman"/>
              </w:rPr>
              <w:t>ir palielinājusies darbinieku darba nespēja slimības dēļ</w:t>
            </w:r>
            <w:r>
              <w:rPr>
                <w:rFonts w:ascii="Times New Roman" w:hAnsi="Times New Roman" w:cs="Times New Roman"/>
              </w:rPr>
              <w:t>.</w:t>
            </w:r>
          </w:p>
          <w:p w14:paraId="1C607827" w14:textId="3532EBAA" w:rsidR="00090A43" w:rsidRPr="008E414D" w:rsidRDefault="00090A43" w:rsidP="00196B73">
            <w:pPr>
              <w:pStyle w:val="ListParagraph"/>
              <w:numPr>
                <w:ilvl w:val="0"/>
                <w:numId w:val="36"/>
              </w:numPr>
              <w:tabs>
                <w:tab w:val="left" w:pos="993"/>
              </w:tabs>
              <w:rPr>
                <w:rFonts w:ascii="Times New Roman" w:hAnsi="Times New Roman" w:cs="Times New Roman"/>
              </w:rPr>
            </w:pPr>
            <w:r w:rsidRPr="008E414D">
              <w:rPr>
                <w:rFonts w:ascii="Times New Roman" w:hAnsi="Times New Roman" w:cs="Times New Roman"/>
              </w:rPr>
              <w:t xml:space="preserve">Preču un pakalpojumu izpilde ir par </w:t>
            </w:r>
            <w:r w:rsidR="00C621F7">
              <w:rPr>
                <w:rFonts w:ascii="Times New Roman" w:hAnsi="Times New Roman" w:cs="Times New Roman"/>
              </w:rPr>
              <w:t>104 556</w:t>
            </w:r>
            <w:r w:rsidRPr="008E414D">
              <w:rPr>
                <w:rFonts w:ascii="Times New Roman" w:hAnsi="Times New Roman" w:cs="Times New Roman"/>
              </w:rPr>
              <w:t xml:space="preserve"> euro jeb </w:t>
            </w:r>
            <w:r w:rsidR="00C621F7">
              <w:rPr>
                <w:rFonts w:ascii="Times New Roman" w:hAnsi="Times New Roman" w:cs="Times New Roman"/>
              </w:rPr>
              <w:t>6,8</w:t>
            </w:r>
            <w:r w:rsidRPr="008E414D">
              <w:rPr>
                <w:rFonts w:ascii="Times New Roman" w:hAnsi="Times New Roman" w:cs="Times New Roman"/>
              </w:rPr>
              <w:t xml:space="preserve"> % mazāka nekā plānots, saistībā ar to, ka</w:t>
            </w:r>
            <w:r w:rsidR="001976FF" w:rsidRPr="008E414D">
              <w:rPr>
                <w:rFonts w:ascii="Times New Roman" w:hAnsi="Times New Roman" w:cs="Times New Roman"/>
              </w:rPr>
              <w:t xml:space="preserve"> </w:t>
            </w:r>
            <w:r w:rsidRPr="008E414D">
              <w:rPr>
                <w:rFonts w:ascii="Times New Roman" w:hAnsi="Times New Roman" w:cs="Times New Roman"/>
              </w:rPr>
              <w:t>mazāki pašu ieņēmumi nekā plānots.</w:t>
            </w:r>
          </w:p>
          <w:p w14:paraId="643F7940" w14:textId="550FC2C3" w:rsidR="00196B73" w:rsidRPr="008E414D" w:rsidRDefault="00196B73" w:rsidP="00090A43">
            <w:pPr>
              <w:pStyle w:val="ListParagraph"/>
              <w:numPr>
                <w:ilvl w:val="0"/>
                <w:numId w:val="36"/>
              </w:numPr>
              <w:tabs>
                <w:tab w:val="left" w:pos="993"/>
              </w:tabs>
              <w:rPr>
                <w:rFonts w:ascii="Times New Roman" w:hAnsi="Times New Roman" w:cs="Times New Roman"/>
              </w:rPr>
            </w:pPr>
            <w:r w:rsidRPr="008E414D">
              <w:rPr>
                <w:rFonts w:ascii="Times New Roman" w:hAnsi="Times New Roman" w:cs="Times New Roman"/>
              </w:rPr>
              <w:t xml:space="preserve">Kapitālajiem izdevumiem izpilde ir par </w:t>
            </w:r>
            <w:r w:rsidR="00C621F7">
              <w:rPr>
                <w:rFonts w:ascii="Times New Roman" w:hAnsi="Times New Roman" w:cs="Times New Roman"/>
              </w:rPr>
              <w:t>28 586</w:t>
            </w:r>
            <w:r w:rsidR="00090A43" w:rsidRPr="008E414D">
              <w:rPr>
                <w:rFonts w:ascii="Times New Roman" w:hAnsi="Times New Roman" w:cs="Times New Roman"/>
              </w:rPr>
              <w:t xml:space="preserve"> </w:t>
            </w:r>
            <w:r w:rsidRPr="008E414D">
              <w:rPr>
                <w:rFonts w:ascii="Times New Roman" w:hAnsi="Times New Roman" w:cs="Times New Roman"/>
              </w:rPr>
              <w:t xml:space="preserve">euro jeb </w:t>
            </w:r>
            <w:r w:rsidR="00C621F7">
              <w:rPr>
                <w:rFonts w:ascii="Times New Roman" w:hAnsi="Times New Roman" w:cs="Times New Roman"/>
              </w:rPr>
              <w:t>32,35</w:t>
            </w:r>
            <w:r w:rsidR="00662367" w:rsidRPr="008E414D">
              <w:rPr>
                <w:rFonts w:ascii="Times New Roman" w:hAnsi="Times New Roman" w:cs="Times New Roman"/>
              </w:rPr>
              <w:t xml:space="preserve"> </w:t>
            </w:r>
            <w:r w:rsidRPr="008E414D">
              <w:rPr>
                <w:rFonts w:ascii="Times New Roman" w:hAnsi="Times New Roman" w:cs="Times New Roman"/>
              </w:rPr>
              <w:t xml:space="preserve">% ir </w:t>
            </w:r>
            <w:r w:rsidR="008E414D" w:rsidRPr="008E414D">
              <w:rPr>
                <w:rFonts w:ascii="Times New Roman" w:hAnsi="Times New Roman" w:cs="Times New Roman"/>
              </w:rPr>
              <w:t>lielāka</w:t>
            </w:r>
            <w:r w:rsidR="0023420B" w:rsidRPr="008E414D">
              <w:rPr>
                <w:rFonts w:ascii="Times New Roman" w:hAnsi="Times New Roman" w:cs="Times New Roman"/>
              </w:rPr>
              <w:t xml:space="preserve"> nekā plānots, saistībā </w:t>
            </w:r>
            <w:r w:rsidR="008E414D" w:rsidRPr="008E414D">
              <w:rPr>
                <w:rFonts w:ascii="Times New Roman" w:hAnsi="Times New Roman" w:cs="Times New Roman"/>
              </w:rPr>
              <w:t xml:space="preserve"> ar to, ka </w:t>
            </w:r>
            <w:r w:rsidR="002F3501" w:rsidRPr="008E414D">
              <w:rPr>
                <w:rFonts w:ascii="Times New Roman" w:hAnsi="Times New Roman" w:cs="Times New Roman"/>
              </w:rPr>
              <w:t xml:space="preserve">tika </w:t>
            </w:r>
            <w:r w:rsidR="008E414D" w:rsidRPr="008E414D">
              <w:rPr>
                <w:rFonts w:ascii="Times New Roman" w:hAnsi="Times New Roman" w:cs="Times New Roman"/>
              </w:rPr>
              <w:t>pabeigti remontdarbi</w:t>
            </w:r>
            <w:r w:rsidR="002F3501" w:rsidRPr="008E414D">
              <w:rPr>
                <w:rFonts w:ascii="Times New Roman" w:hAnsi="Times New Roman" w:cs="Times New Roman"/>
              </w:rPr>
              <w:t xml:space="preserve"> pēc iepirkuma.</w:t>
            </w:r>
          </w:p>
          <w:p w14:paraId="638CAF1A" w14:textId="1F69BCB5" w:rsidR="00090A43" w:rsidRPr="00ED3A39" w:rsidRDefault="00090A43" w:rsidP="00C621F7">
            <w:pPr>
              <w:pStyle w:val="ListParagraph"/>
              <w:numPr>
                <w:ilvl w:val="0"/>
                <w:numId w:val="36"/>
              </w:numPr>
              <w:tabs>
                <w:tab w:val="left" w:pos="993"/>
              </w:tabs>
              <w:rPr>
                <w:rFonts w:ascii="Times New Roman" w:hAnsi="Times New Roman" w:cs="Times New Roman"/>
              </w:rPr>
            </w:pPr>
            <w:r w:rsidRPr="008E414D">
              <w:rPr>
                <w:rFonts w:ascii="Times New Roman" w:hAnsi="Times New Roman" w:cs="Times New Roman"/>
              </w:rPr>
              <w:t>Sociāla rakstura pārējie</w:t>
            </w:r>
            <w:r w:rsidR="001976FF" w:rsidRPr="008E414D">
              <w:rPr>
                <w:rFonts w:ascii="Times New Roman" w:hAnsi="Times New Roman" w:cs="Times New Roman"/>
              </w:rPr>
              <w:t>m</w:t>
            </w:r>
            <w:r w:rsidRPr="008E414D">
              <w:rPr>
                <w:rFonts w:ascii="Times New Roman" w:hAnsi="Times New Roman" w:cs="Times New Roman"/>
              </w:rPr>
              <w:t xml:space="preserve"> valsts pabalstiem</w:t>
            </w:r>
            <w:r w:rsidR="002D68F1" w:rsidRPr="008E414D">
              <w:rPr>
                <w:rFonts w:ascii="Times New Roman" w:hAnsi="Times New Roman" w:cs="Times New Roman"/>
              </w:rPr>
              <w:t xml:space="preserve"> un klientu personiskiem izdevumiem</w:t>
            </w:r>
            <w:r w:rsidRPr="008E414D">
              <w:rPr>
                <w:rFonts w:ascii="Times New Roman" w:hAnsi="Times New Roman" w:cs="Times New Roman"/>
              </w:rPr>
              <w:t xml:space="preserve"> izpilde ir par </w:t>
            </w:r>
            <w:r w:rsidR="00C621F7">
              <w:rPr>
                <w:rFonts w:ascii="Times New Roman" w:hAnsi="Times New Roman" w:cs="Times New Roman"/>
              </w:rPr>
              <w:t>78 773</w:t>
            </w:r>
            <w:r w:rsidR="008E414D" w:rsidRPr="008E414D">
              <w:rPr>
                <w:rFonts w:ascii="Times New Roman" w:hAnsi="Times New Roman" w:cs="Times New Roman"/>
              </w:rPr>
              <w:t xml:space="preserve"> euro jeb </w:t>
            </w:r>
            <w:r w:rsidR="00C621F7">
              <w:rPr>
                <w:rFonts w:ascii="Times New Roman" w:hAnsi="Times New Roman" w:cs="Times New Roman"/>
              </w:rPr>
              <w:t>45,16</w:t>
            </w:r>
            <w:r w:rsidRPr="008E414D">
              <w:rPr>
                <w:rFonts w:ascii="Times New Roman" w:hAnsi="Times New Roman" w:cs="Times New Roman"/>
              </w:rPr>
              <w:t xml:space="preserve"> % </w:t>
            </w:r>
            <w:r w:rsidR="00C621F7">
              <w:rPr>
                <w:rFonts w:ascii="Times New Roman" w:hAnsi="Times New Roman" w:cs="Times New Roman"/>
              </w:rPr>
              <w:t>lielāka</w:t>
            </w:r>
            <w:r w:rsidRPr="008E414D">
              <w:rPr>
                <w:rFonts w:ascii="Times New Roman" w:hAnsi="Times New Roman" w:cs="Times New Roman"/>
              </w:rPr>
              <w:t xml:space="preserve"> nekā pl</w:t>
            </w:r>
            <w:r w:rsidR="007C2D72">
              <w:rPr>
                <w:rFonts w:ascii="Times New Roman" w:hAnsi="Times New Roman" w:cs="Times New Roman"/>
              </w:rPr>
              <w:t>ānots, saistībā ar to , ka pēc esošās likumdošanas ir lielāks pabalstu apjoms 15 % apmērā.</w:t>
            </w:r>
          </w:p>
        </w:tc>
      </w:tr>
      <w:tr w:rsidR="00973B19" w:rsidRPr="00CC77D5" w14:paraId="7B31290F" w14:textId="77777777" w:rsidTr="00D90F06">
        <w:trPr>
          <w:gridAfter w:val="1"/>
          <w:wAfter w:w="13" w:type="dxa"/>
        </w:trPr>
        <w:tc>
          <w:tcPr>
            <w:tcW w:w="6947" w:type="dxa"/>
          </w:tcPr>
          <w:p w14:paraId="02BAA6ED" w14:textId="65453316"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sidR="00305379">
              <w:rPr>
                <w:rFonts w:ascii="Times New Roman" w:hAnsi="Times New Roman" w:cs="Times New Roman"/>
              </w:rPr>
              <w:t>finansējuma izlietojumam</w:t>
            </w:r>
          </w:p>
          <w:p w14:paraId="4877338E" w14:textId="1ADA5E33" w:rsidR="00C300B2" w:rsidRPr="00CC77D5" w:rsidRDefault="00C300B2" w:rsidP="002D73A4">
            <w:pPr>
              <w:pStyle w:val="ListParagraph"/>
              <w:ind w:left="286"/>
              <w:rPr>
                <w:rFonts w:ascii="Times New Roman" w:hAnsi="Times New Roman" w:cs="Times New Roman"/>
              </w:rPr>
            </w:pPr>
          </w:p>
        </w:tc>
        <w:tc>
          <w:tcPr>
            <w:tcW w:w="7046" w:type="dxa"/>
          </w:tcPr>
          <w:p w14:paraId="2001AC06" w14:textId="76AECC91" w:rsidR="009B6895" w:rsidRPr="009B6895" w:rsidRDefault="009B6895" w:rsidP="00E41281">
            <w:pPr>
              <w:tabs>
                <w:tab w:val="left" w:pos="993"/>
              </w:tabs>
              <w:jc w:val="both"/>
              <w:rPr>
                <w:rFonts w:ascii="Times New Roman" w:hAnsi="Times New Roman" w:cs="Times New Roman"/>
                <w:b/>
              </w:rPr>
            </w:pPr>
          </w:p>
        </w:tc>
      </w:tr>
      <w:tr w:rsidR="00973B19" w:rsidRPr="00CC77D5" w14:paraId="5F1DE350" w14:textId="77777777" w:rsidTr="00D90F06">
        <w:trPr>
          <w:gridAfter w:val="1"/>
          <w:wAfter w:w="13" w:type="dxa"/>
        </w:trPr>
        <w:tc>
          <w:tcPr>
            <w:tcW w:w="6947" w:type="dxa"/>
          </w:tcPr>
          <w:p w14:paraId="351EDBCB" w14:textId="00E5469E"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w:t>
            </w:r>
            <w:r w:rsidR="00315D74" w:rsidRPr="00CC77D5">
              <w:rPr>
                <w:rFonts w:ascii="Times New Roman" w:hAnsi="Times New Roman" w:cs="Times New Roman"/>
              </w:rPr>
              <w:t xml:space="preserve"> </w:t>
            </w:r>
            <w:r w:rsidR="0072466B" w:rsidRPr="00CC77D5">
              <w:rPr>
                <w:rFonts w:ascii="Times New Roman" w:hAnsi="Times New Roman" w:cs="Times New Roman"/>
              </w:rPr>
              <w:t>vērtējums</w:t>
            </w:r>
            <w:r w:rsidRPr="00CC77D5">
              <w:rPr>
                <w:rFonts w:ascii="Times New Roman" w:hAnsi="Times New Roman" w:cs="Times New Roman"/>
              </w:rPr>
              <w:t xml:space="preserve"> </w:t>
            </w:r>
            <w:r w:rsidR="003450E7" w:rsidRPr="00CC77D5">
              <w:rPr>
                <w:rFonts w:ascii="Times New Roman" w:hAnsi="Times New Roman" w:cs="Times New Roman"/>
              </w:rPr>
              <w:t xml:space="preserve">par </w:t>
            </w:r>
            <w:r w:rsidRPr="00CC77D5">
              <w:rPr>
                <w:rFonts w:ascii="Times New Roman" w:hAnsi="Times New Roman" w:cs="Times New Roman"/>
              </w:rPr>
              <w:t>potenciāl</w:t>
            </w:r>
            <w:r w:rsidR="0072466B" w:rsidRPr="00CC77D5">
              <w:rPr>
                <w:rFonts w:ascii="Times New Roman" w:hAnsi="Times New Roman" w:cs="Times New Roman"/>
              </w:rPr>
              <w:t>i</w:t>
            </w:r>
            <w:r w:rsidRPr="00CC77D5">
              <w:rPr>
                <w:rFonts w:ascii="Times New Roman" w:hAnsi="Times New Roman" w:cs="Times New Roman"/>
              </w:rPr>
              <w:t xml:space="preserve"> </w:t>
            </w:r>
            <w:r w:rsidR="00A6367F" w:rsidRPr="00CC77D5">
              <w:rPr>
                <w:rFonts w:ascii="Times New Roman" w:hAnsi="Times New Roman" w:cs="Times New Roman"/>
              </w:rPr>
              <w:t>slēdzamajiem</w:t>
            </w:r>
            <w:r w:rsidRPr="00CC77D5">
              <w:rPr>
                <w:rFonts w:ascii="Times New Roman" w:hAnsi="Times New Roman" w:cs="Times New Roman"/>
              </w:rPr>
              <w:t xml:space="preserve"> asignējum</w:t>
            </w:r>
            <w:r w:rsidR="0072466B" w:rsidRPr="00CC77D5">
              <w:rPr>
                <w:rFonts w:ascii="Times New Roman" w:hAnsi="Times New Roman" w:cs="Times New Roman"/>
              </w:rPr>
              <w:t>iem</w:t>
            </w:r>
            <w:r w:rsidRPr="00CC77D5">
              <w:rPr>
                <w:rFonts w:ascii="Times New Roman" w:hAnsi="Times New Roman" w:cs="Times New Roman"/>
              </w:rPr>
              <w:t xml:space="preserve"> gada beigās</w:t>
            </w:r>
            <w:r w:rsidR="00142ADD" w:rsidRPr="00CC77D5">
              <w:rPr>
                <w:rFonts w:ascii="Times New Roman" w:hAnsi="Times New Roman" w:cs="Times New Roman"/>
              </w:rPr>
              <w:t xml:space="preserve"> sadalījumā pa</w:t>
            </w:r>
            <w:r w:rsidR="002D1ED6" w:rsidRPr="00CC77D5">
              <w:rPr>
                <w:rFonts w:ascii="Times New Roman" w:hAnsi="Times New Roman" w:cs="Times New Roman"/>
              </w:rPr>
              <w:t xml:space="preserve"> </w:t>
            </w:r>
            <w:r w:rsidR="00D046BD" w:rsidRPr="00CC77D5">
              <w:rPr>
                <w:rFonts w:ascii="Times New Roman" w:hAnsi="Times New Roman" w:cs="Times New Roman"/>
              </w:rPr>
              <w:t xml:space="preserve">izdevumu </w:t>
            </w:r>
            <w:r w:rsidR="00142ADD" w:rsidRPr="00CC77D5">
              <w:rPr>
                <w:rFonts w:ascii="Times New Roman" w:hAnsi="Times New Roman" w:cs="Times New Roman"/>
              </w:rPr>
              <w:t>ekonomiskās klasifikācijas kodiem</w:t>
            </w:r>
            <w:r w:rsidR="00D046BD" w:rsidRPr="00CC77D5">
              <w:rPr>
                <w:rFonts w:ascii="Times New Roman" w:hAnsi="Times New Roman" w:cs="Times New Roman"/>
              </w:rPr>
              <w:t xml:space="preserve"> atbilstoši gadskārtējā valsts budžeta likuma struktūrai</w:t>
            </w:r>
          </w:p>
          <w:p w14:paraId="4DF0B789" w14:textId="465C8C04" w:rsidR="00C300B2" w:rsidRPr="00CC77D5" w:rsidRDefault="00C300B2" w:rsidP="002D73A4">
            <w:pPr>
              <w:pStyle w:val="ListParagraph"/>
              <w:ind w:left="286"/>
              <w:rPr>
                <w:rFonts w:ascii="Times New Roman" w:hAnsi="Times New Roman" w:cs="Times New Roman"/>
              </w:rPr>
            </w:pPr>
          </w:p>
        </w:tc>
        <w:tc>
          <w:tcPr>
            <w:tcW w:w="7046" w:type="dxa"/>
          </w:tcPr>
          <w:p w14:paraId="26BDEC45" w14:textId="03084EFC" w:rsidR="009B6895" w:rsidRPr="00CC77D5" w:rsidRDefault="009B6895" w:rsidP="00E41281">
            <w:pPr>
              <w:tabs>
                <w:tab w:val="left" w:pos="993"/>
              </w:tabs>
              <w:ind w:left="3"/>
              <w:jc w:val="both"/>
              <w:rPr>
                <w:rFonts w:ascii="Times New Roman" w:hAnsi="Times New Roman" w:cs="Times New Roman"/>
                <w:b/>
                <w:i/>
              </w:rPr>
            </w:pPr>
          </w:p>
        </w:tc>
      </w:tr>
      <w:tr w:rsidR="00F3536F" w:rsidRPr="00CC77D5" w14:paraId="4A3DDA19" w14:textId="77777777" w:rsidTr="00D90F06">
        <w:trPr>
          <w:gridAfter w:val="1"/>
          <w:wAfter w:w="13" w:type="dxa"/>
        </w:trPr>
        <w:tc>
          <w:tcPr>
            <w:tcW w:w="6947" w:type="dxa"/>
          </w:tcPr>
          <w:p w14:paraId="51A29BC9" w14:textId="39C6C531" w:rsidR="00F3536F" w:rsidRPr="00CC77D5" w:rsidRDefault="00F3536F"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w:t>
            </w:r>
            <w:r w:rsidR="00D046BD" w:rsidRPr="00CC77D5">
              <w:rPr>
                <w:rFonts w:ascii="Times New Roman" w:hAnsi="Times New Roman" w:cs="Times New Roman"/>
              </w:rPr>
              <w:t xml:space="preserve">a </w:t>
            </w:r>
            <w:r w:rsidR="00F26530" w:rsidRPr="00CC77D5">
              <w:rPr>
                <w:rFonts w:ascii="Times New Roman" w:hAnsi="Times New Roman" w:cs="Times New Roman"/>
              </w:rPr>
              <w:t>paskaidrojumos</w:t>
            </w:r>
            <w:r w:rsidRPr="00CC77D5">
              <w:rPr>
                <w:rFonts w:ascii="Times New Roman" w:hAnsi="Times New Roman" w:cs="Times New Roman"/>
              </w:rPr>
              <w:t xml:space="preserve"> plānoto darbības rezultatīv</w:t>
            </w:r>
            <w:r w:rsidR="00305379">
              <w:rPr>
                <w:rFonts w:ascii="Times New Roman" w:hAnsi="Times New Roman" w:cs="Times New Roman"/>
              </w:rPr>
              <w:t>o rādītāju vērtību sasniegšanu</w:t>
            </w:r>
          </w:p>
          <w:p w14:paraId="663F532C" w14:textId="677445D9" w:rsidR="00F3536F" w:rsidRPr="00CC77D5" w:rsidRDefault="00F3536F" w:rsidP="002D73A4">
            <w:pPr>
              <w:pStyle w:val="ListParagraph"/>
              <w:tabs>
                <w:tab w:val="left" w:pos="993"/>
              </w:tabs>
              <w:ind w:left="286"/>
              <w:rPr>
                <w:rFonts w:ascii="Times New Roman" w:hAnsi="Times New Roman" w:cs="Times New Roman"/>
              </w:rPr>
            </w:pPr>
          </w:p>
        </w:tc>
        <w:tc>
          <w:tcPr>
            <w:tcW w:w="7046" w:type="dxa"/>
          </w:tcPr>
          <w:p w14:paraId="2666A111" w14:textId="70CAC228" w:rsidR="009B6895" w:rsidRPr="00CC77D5" w:rsidRDefault="009B6895" w:rsidP="00E41281">
            <w:pPr>
              <w:tabs>
                <w:tab w:val="left" w:pos="993"/>
              </w:tabs>
              <w:ind w:left="3"/>
              <w:jc w:val="both"/>
              <w:rPr>
                <w:rFonts w:ascii="Times New Roman" w:hAnsi="Times New Roman" w:cs="Times New Roman"/>
                <w:u w:val="single"/>
              </w:rPr>
            </w:pPr>
          </w:p>
        </w:tc>
      </w:tr>
      <w:tr w:rsidR="00973B19" w:rsidRPr="00CC77D5" w14:paraId="0549E5E0" w14:textId="34A63AAB" w:rsidTr="00D90F06">
        <w:trPr>
          <w:gridAfter w:val="1"/>
          <w:wAfter w:w="13" w:type="dxa"/>
        </w:trPr>
        <w:tc>
          <w:tcPr>
            <w:tcW w:w="6947" w:type="dxa"/>
          </w:tcPr>
          <w:p w14:paraId="4F89969B" w14:textId="2A68410B" w:rsidR="00973B19" w:rsidRPr="00CC77D5" w:rsidRDefault="003450E7"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lastRenderedPageBreak/>
              <w:t>Kādi ir i</w:t>
            </w:r>
            <w:r w:rsidR="0045498A" w:rsidRPr="00CC77D5">
              <w:rPr>
                <w:rFonts w:ascii="Times New Roman" w:hAnsi="Times New Roman" w:cs="Times New Roman"/>
              </w:rPr>
              <w:t>emesli, kāpēc slēgtie asignējumi</w:t>
            </w:r>
            <w:r w:rsidRPr="00CC77D5">
              <w:rPr>
                <w:rFonts w:ascii="Times New Roman" w:hAnsi="Times New Roman" w:cs="Times New Roman"/>
              </w:rPr>
              <w:t xml:space="preserve"> budžeta izpildes laikā</w:t>
            </w:r>
            <w:r w:rsidR="0045498A" w:rsidRPr="00CC77D5">
              <w:rPr>
                <w:rFonts w:ascii="Times New Roman" w:hAnsi="Times New Roman" w:cs="Times New Roman"/>
              </w:rPr>
              <w:t xml:space="preserve"> netika pārvirzīti </w:t>
            </w:r>
            <w:r w:rsidRPr="00CC77D5">
              <w:rPr>
                <w:rFonts w:ascii="Times New Roman" w:hAnsi="Times New Roman" w:cs="Times New Roman"/>
              </w:rPr>
              <w:t>citiem mērķiem, kur fin</w:t>
            </w:r>
            <w:r w:rsidR="00305379">
              <w:rPr>
                <w:rFonts w:ascii="Times New Roman" w:hAnsi="Times New Roman" w:cs="Times New Roman"/>
              </w:rPr>
              <w:t>ansējums ir bijis nepietiekams</w:t>
            </w:r>
          </w:p>
          <w:p w14:paraId="482ED1F5" w14:textId="72A89236" w:rsidR="00C300B2" w:rsidRPr="00CC77D5" w:rsidRDefault="00C300B2" w:rsidP="002D73A4">
            <w:pPr>
              <w:pStyle w:val="ListParagraph"/>
              <w:ind w:left="286"/>
              <w:rPr>
                <w:rFonts w:ascii="Times New Roman" w:hAnsi="Times New Roman" w:cs="Times New Roman"/>
              </w:rPr>
            </w:pPr>
          </w:p>
        </w:tc>
        <w:tc>
          <w:tcPr>
            <w:tcW w:w="7046" w:type="dxa"/>
          </w:tcPr>
          <w:p w14:paraId="47398902" w14:textId="6EE092C7" w:rsidR="00973B19" w:rsidRPr="00CC77D5" w:rsidRDefault="00973B19" w:rsidP="0056580A">
            <w:pPr>
              <w:tabs>
                <w:tab w:val="left" w:pos="993"/>
              </w:tabs>
              <w:ind w:left="3"/>
              <w:jc w:val="both"/>
              <w:rPr>
                <w:rFonts w:ascii="Times New Roman" w:hAnsi="Times New Roman" w:cs="Times New Roman"/>
                <w:b/>
              </w:rPr>
            </w:pPr>
          </w:p>
        </w:tc>
      </w:tr>
      <w:tr w:rsidR="00973B19" w:rsidRPr="00CC77D5" w14:paraId="49741466" w14:textId="77777777" w:rsidTr="00D90F06">
        <w:trPr>
          <w:gridAfter w:val="1"/>
          <w:wAfter w:w="13" w:type="dxa"/>
        </w:trPr>
        <w:tc>
          <w:tcPr>
            <w:tcW w:w="6947" w:type="dxa"/>
          </w:tcPr>
          <w:p w14:paraId="460A4A7D" w14:textId="743853C3"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Ja nākamajā gadā potenciāli ir plāno</w:t>
            </w:r>
            <w:r w:rsidR="002D73A4">
              <w:rPr>
                <w:rFonts w:ascii="Times New Roman" w:hAnsi="Times New Roman" w:cs="Times New Roman"/>
              </w:rPr>
              <w:t>ts pieprasīt finansējumu no 74. </w:t>
            </w:r>
            <w:r w:rsidR="00097952" w:rsidRPr="00CC77D5">
              <w:rPr>
                <w:rFonts w:ascii="Times New Roman" w:hAnsi="Times New Roman" w:cs="Times New Roman"/>
              </w:rPr>
              <w:t xml:space="preserve">budžeta </w:t>
            </w:r>
            <w:r w:rsidRPr="00CC77D5">
              <w:rPr>
                <w:rFonts w:ascii="Times New Roman" w:hAnsi="Times New Roman" w:cs="Times New Roman"/>
              </w:rPr>
              <w:t xml:space="preserve">resora </w:t>
            </w:r>
            <w:r w:rsidR="006D6A24" w:rsidRPr="007E33A0">
              <w:rPr>
                <w:rFonts w:ascii="Times New Roman" w:hAnsi="Times New Roman" w:cs="Times New Roman"/>
              </w:rPr>
              <w:t xml:space="preserve">programmas </w:t>
            </w:r>
            <w:r w:rsidRPr="00CC77D5">
              <w:rPr>
                <w:rFonts w:ascii="Times New Roman" w:hAnsi="Times New Roman" w:cs="Times New Roman"/>
              </w:rPr>
              <w:t xml:space="preserve">01.00.00 </w:t>
            </w:r>
            <w:r w:rsidR="002D73A4">
              <w:rPr>
                <w:rFonts w:ascii="Times New Roman" w:hAnsi="Times New Roman" w:cs="Times New Roman"/>
              </w:rPr>
              <w:t>"</w:t>
            </w:r>
            <w:r w:rsidRPr="00CC77D5">
              <w:rPr>
                <w:rFonts w:ascii="Times New Roman" w:hAnsi="Times New Roman" w:cs="Times New Roman"/>
              </w:rPr>
              <w:t>Apropriācijas rezerve</w:t>
            </w:r>
            <w:r w:rsidR="002D73A4">
              <w:rPr>
                <w:rFonts w:ascii="Times New Roman" w:hAnsi="Times New Roman" w:cs="Times New Roman"/>
              </w:rPr>
              <w:t>"</w:t>
            </w:r>
            <w:r w:rsidRPr="00CC77D5">
              <w:rPr>
                <w:rFonts w:ascii="Times New Roman" w:hAnsi="Times New Roman" w:cs="Times New Roman"/>
              </w:rPr>
              <w:t>, kādi ir fi</w:t>
            </w:r>
            <w:r w:rsidR="00977058" w:rsidRPr="00CC77D5">
              <w:rPr>
                <w:rFonts w:ascii="Times New Roman" w:hAnsi="Times New Roman" w:cs="Times New Roman"/>
              </w:rPr>
              <w:t>nansējuma pieprasīšanas iemesli un</w:t>
            </w:r>
            <w:r w:rsidR="00305379">
              <w:rPr>
                <w:rFonts w:ascii="Times New Roman" w:hAnsi="Times New Roman" w:cs="Times New Roman"/>
              </w:rPr>
              <w:t xml:space="preserve"> apjoms</w:t>
            </w:r>
          </w:p>
          <w:p w14:paraId="7F64F467" w14:textId="47FE0F89" w:rsidR="00A64322" w:rsidRPr="00CC77D5" w:rsidRDefault="00A64322" w:rsidP="002D73A4">
            <w:pPr>
              <w:pStyle w:val="ListParagraph"/>
              <w:ind w:left="286"/>
              <w:rPr>
                <w:rFonts w:ascii="Times New Roman" w:hAnsi="Times New Roman" w:cs="Times New Roman"/>
              </w:rPr>
            </w:pPr>
          </w:p>
        </w:tc>
        <w:tc>
          <w:tcPr>
            <w:tcW w:w="7046" w:type="dxa"/>
          </w:tcPr>
          <w:p w14:paraId="5F0121A1" w14:textId="386BCE69" w:rsidR="00973B19" w:rsidRPr="00CC77D5" w:rsidRDefault="00973B19" w:rsidP="0056580A">
            <w:pPr>
              <w:tabs>
                <w:tab w:val="left" w:pos="993"/>
              </w:tabs>
              <w:rPr>
                <w:rFonts w:ascii="Times New Roman" w:hAnsi="Times New Roman" w:cs="Times New Roman"/>
                <w:i/>
              </w:rPr>
            </w:pPr>
          </w:p>
        </w:tc>
      </w:tr>
      <w:tr w:rsidR="000A31F4" w:rsidRPr="00CC77D5" w14:paraId="6C0A9350" w14:textId="77777777" w:rsidTr="00D90F06">
        <w:trPr>
          <w:gridAfter w:val="1"/>
          <w:wAfter w:w="13" w:type="dxa"/>
        </w:trPr>
        <w:tc>
          <w:tcPr>
            <w:tcW w:w="6947" w:type="dxa"/>
          </w:tcPr>
          <w:p w14:paraId="192CDC19" w14:textId="3D170803" w:rsidR="000A31F4" w:rsidRPr="00CC77D5" w:rsidRDefault="00CC23B9" w:rsidP="002D73A4">
            <w:pPr>
              <w:tabs>
                <w:tab w:val="left" w:pos="993"/>
              </w:tabs>
              <w:spacing w:before="40" w:after="40"/>
              <w:rPr>
                <w:rFonts w:ascii="Times New Roman" w:hAnsi="Times New Roman" w:cs="Times New Roman"/>
                <w:b/>
              </w:rPr>
            </w:pPr>
            <w:r w:rsidRPr="00CC77D5">
              <w:rPr>
                <w:rFonts w:ascii="Times New Roman" w:hAnsi="Times New Roman" w:cs="Times New Roman"/>
                <w:b/>
              </w:rPr>
              <w:t>Papildu</w:t>
            </w:r>
            <w:r w:rsidR="000A31F4" w:rsidRPr="00CC77D5">
              <w:rPr>
                <w:rFonts w:ascii="Times New Roman" w:hAnsi="Times New Roman" w:cs="Times New Roman"/>
                <w:b/>
              </w:rPr>
              <w:t xml:space="preserve"> informācija</w:t>
            </w:r>
          </w:p>
        </w:tc>
        <w:tc>
          <w:tcPr>
            <w:tcW w:w="7046" w:type="dxa"/>
          </w:tcPr>
          <w:p w14:paraId="69047BB4" w14:textId="77777777" w:rsidR="000A31F4" w:rsidRPr="00CC77D5" w:rsidRDefault="000A31F4" w:rsidP="00973B19">
            <w:pPr>
              <w:tabs>
                <w:tab w:val="left" w:pos="993"/>
              </w:tabs>
              <w:rPr>
                <w:rFonts w:ascii="Times New Roman" w:hAnsi="Times New Roman" w:cs="Times New Roman"/>
                <w:u w:val="single"/>
              </w:rPr>
            </w:pPr>
          </w:p>
        </w:tc>
      </w:tr>
      <w:tr w:rsidR="000A31F4" w:rsidRPr="00CC77D5" w14:paraId="52B98E6F" w14:textId="77777777" w:rsidTr="00D90F06">
        <w:trPr>
          <w:gridAfter w:val="1"/>
          <w:wAfter w:w="13" w:type="dxa"/>
        </w:trPr>
        <w:tc>
          <w:tcPr>
            <w:tcW w:w="6947" w:type="dxa"/>
          </w:tcPr>
          <w:p w14:paraId="4377A53B" w14:textId="114E1CA2" w:rsidR="000A31F4" w:rsidRDefault="00C04456" w:rsidP="002D73A4">
            <w:pPr>
              <w:tabs>
                <w:tab w:val="left" w:pos="993"/>
              </w:tabs>
              <w:rPr>
                <w:rFonts w:ascii="Times New Roman" w:hAnsi="Times New Roman" w:cs="Times New Roman"/>
              </w:rPr>
            </w:pPr>
            <w:r>
              <w:rPr>
                <w:rFonts w:ascii="Times New Roman" w:hAnsi="Times New Roman" w:cs="Times New Roman"/>
              </w:rPr>
              <w:t>Citi analītiskie skaidrojumi</w:t>
            </w:r>
          </w:p>
          <w:p w14:paraId="0A334C29" w14:textId="49CC737F" w:rsidR="00C04456" w:rsidRPr="00CC77D5" w:rsidDel="00BA6358" w:rsidRDefault="00C04456" w:rsidP="002D73A4">
            <w:pPr>
              <w:tabs>
                <w:tab w:val="left" w:pos="993"/>
              </w:tabs>
              <w:rPr>
                <w:rFonts w:ascii="Times New Roman" w:hAnsi="Times New Roman" w:cs="Times New Roman"/>
                <w:b/>
              </w:rPr>
            </w:pPr>
          </w:p>
        </w:tc>
        <w:tc>
          <w:tcPr>
            <w:tcW w:w="7046" w:type="dxa"/>
          </w:tcPr>
          <w:p w14:paraId="1915E5FE" w14:textId="77777777" w:rsidR="00010F09" w:rsidRDefault="00010F09" w:rsidP="00010F09">
            <w:pPr>
              <w:ind w:left="851"/>
              <w:jc w:val="both"/>
              <w:rPr>
                <w:rFonts w:ascii="Times New Roman" w:hAnsi="Times New Roman"/>
                <w:i/>
                <w:iCs/>
                <w:sz w:val="24"/>
                <w:szCs w:val="24"/>
              </w:rPr>
            </w:pPr>
            <w:r w:rsidRPr="00787F0F">
              <w:rPr>
                <w:rFonts w:ascii="Times New Roman" w:hAnsi="Times New Roman"/>
                <w:i/>
                <w:iCs/>
                <w:sz w:val="24"/>
                <w:szCs w:val="24"/>
              </w:rPr>
              <w:t>Apakšprogrammas ietvaros</w:t>
            </w:r>
            <w:r>
              <w:rPr>
                <w:rFonts w:ascii="Times New Roman" w:hAnsi="Times New Roman"/>
                <w:i/>
                <w:iCs/>
                <w:sz w:val="24"/>
                <w:szCs w:val="24"/>
              </w:rPr>
              <w:t xml:space="preserve"> </w:t>
            </w:r>
            <w:r w:rsidRPr="00787F0F">
              <w:rPr>
                <w:rFonts w:ascii="Times New Roman" w:hAnsi="Times New Roman"/>
                <w:i/>
                <w:sz w:val="24"/>
                <w:szCs w:val="24"/>
                <w:lang w:eastAsia="lv-LV"/>
              </w:rPr>
              <w:t>klientu rehabilitācijai un sociālās aprūpes kvalitātes uzlabošanai</w:t>
            </w:r>
            <w:r w:rsidRPr="00787F0F">
              <w:rPr>
                <w:rFonts w:ascii="Times New Roman" w:hAnsi="Times New Roman"/>
                <w:i/>
                <w:iCs/>
                <w:sz w:val="24"/>
                <w:szCs w:val="24"/>
              </w:rPr>
              <w:t xml:space="preserve"> nodrošinātas sekojošas aktivitātes: </w:t>
            </w:r>
          </w:p>
          <w:p w14:paraId="78250215" w14:textId="77777777" w:rsidR="00010F09" w:rsidRPr="00787F0F" w:rsidRDefault="00010F09" w:rsidP="00010F09">
            <w:pPr>
              <w:jc w:val="both"/>
              <w:rPr>
                <w:rFonts w:ascii="Times New Roman" w:hAnsi="Times New Roman"/>
                <w:i/>
                <w:iCs/>
                <w:sz w:val="24"/>
                <w:szCs w:val="24"/>
              </w:rPr>
            </w:pPr>
          </w:p>
          <w:p w14:paraId="04394C47" w14:textId="4DC2F211" w:rsidR="006B2E30" w:rsidRDefault="00010F09" w:rsidP="006D14DC">
            <w:pPr>
              <w:ind w:left="1353"/>
              <w:jc w:val="both"/>
              <w:rPr>
                <w:rFonts w:ascii="Times New Roman" w:hAnsi="Times New Roman"/>
                <w:sz w:val="24"/>
                <w:szCs w:val="24"/>
              </w:rPr>
            </w:pPr>
            <w:r w:rsidRPr="00787F0F">
              <w:rPr>
                <w:rFonts w:ascii="Times New Roman" w:hAnsi="Times New Roman"/>
                <w:sz w:val="24"/>
                <w:szCs w:val="24"/>
                <w:lang w:eastAsia="lv-LV"/>
              </w:rPr>
              <w:t>Filiāl</w:t>
            </w:r>
            <w:r w:rsidR="00B13278">
              <w:rPr>
                <w:rFonts w:ascii="Times New Roman" w:hAnsi="Times New Roman"/>
                <w:sz w:val="24"/>
                <w:szCs w:val="24"/>
                <w:lang w:eastAsia="lv-LV"/>
              </w:rPr>
              <w:t>es</w:t>
            </w:r>
            <w:r w:rsidRPr="00787F0F">
              <w:rPr>
                <w:rFonts w:ascii="Times New Roman" w:hAnsi="Times New Roman"/>
                <w:sz w:val="24"/>
                <w:szCs w:val="24"/>
                <w:lang w:eastAsia="lv-LV"/>
              </w:rPr>
              <w:t xml:space="preserve"> </w:t>
            </w:r>
            <w:r w:rsidRPr="00787F0F">
              <w:rPr>
                <w:rFonts w:ascii="Times New Roman" w:hAnsi="Times New Roman"/>
                <w:b/>
                <w:sz w:val="24"/>
                <w:szCs w:val="24"/>
                <w:lang w:eastAsia="lv-LV"/>
              </w:rPr>
              <w:t xml:space="preserve">„Kalkūni” </w:t>
            </w:r>
            <w:r w:rsidR="00B13278" w:rsidRPr="00B13278">
              <w:rPr>
                <w:rFonts w:ascii="Times New Roman" w:hAnsi="Times New Roman"/>
                <w:sz w:val="24"/>
                <w:szCs w:val="24"/>
              </w:rPr>
              <w:t>k</w:t>
            </w:r>
            <w:r w:rsidRPr="00787F0F">
              <w:rPr>
                <w:rFonts w:ascii="Times New Roman" w:hAnsi="Times New Roman"/>
                <w:sz w:val="24"/>
                <w:szCs w:val="24"/>
              </w:rPr>
              <w:t xml:space="preserve">lienti devās </w:t>
            </w:r>
            <w:r>
              <w:rPr>
                <w:rFonts w:ascii="Times New Roman" w:hAnsi="Times New Roman"/>
                <w:sz w:val="24"/>
                <w:szCs w:val="24"/>
              </w:rPr>
              <w:t>braucienā uz Dau</w:t>
            </w:r>
            <w:r w:rsidR="006D14DC">
              <w:rPr>
                <w:rFonts w:ascii="Times New Roman" w:hAnsi="Times New Roman"/>
                <w:sz w:val="24"/>
                <w:szCs w:val="24"/>
              </w:rPr>
              <w:t>gavpili</w:t>
            </w:r>
            <w:r w:rsidR="00C23A82">
              <w:rPr>
                <w:rFonts w:ascii="Times New Roman" w:hAnsi="Times New Roman"/>
                <w:sz w:val="24"/>
                <w:szCs w:val="24"/>
              </w:rPr>
              <w:t xml:space="preserve"> </w:t>
            </w:r>
            <w:r w:rsidR="006D14DC">
              <w:rPr>
                <w:rFonts w:ascii="Times New Roman" w:hAnsi="Times New Roman"/>
                <w:sz w:val="24"/>
                <w:szCs w:val="24"/>
              </w:rPr>
              <w:t>“Ceļojumā pa Ziemassvētku pilsētu “. Organizācija “Labie cilvēki” rīkoja “Tējas ceremonijas “</w:t>
            </w:r>
            <w:r w:rsidR="002C40A8">
              <w:rPr>
                <w:rFonts w:ascii="Times New Roman" w:hAnsi="Times New Roman"/>
                <w:sz w:val="24"/>
                <w:szCs w:val="24"/>
              </w:rPr>
              <w:t xml:space="preserve"> </w:t>
            </w:r>
            <w:r w:rsidR="006D14DC">
              <w:rPr>
                <w:rFonts w:ascii="Times New Roman" w:hAnsi="Times New Roman"/>
                <w:sz w:val="24"/>
                <w:szCs w:val="24"/>
              </w:rPr>
              <w:t>pasākumu filiāles klientiem. Tika rīkots karnevāls “Aizbrauc  Vecais gads”, ekskursijas uz Ādažu čipsu ražotni, Aglonas novadu un maizes muzeju,</w:t>
            </w:r>
            <w:r w:rsidR="0040335C">
              <w:rPr>
                <w:rFonts w:ascii="Times New Roman" w:hAnsi="Times New Roman"/>
                <w:sz w:val="24"/>
                <w:szCs w:val="24"/>
              </w:rPr>
              <w:t>izklaides parku “Avārijas brigāde”</w:t>
            </w:r>
            <w:r w:rsidR="006D14DC">
              <w:rPr>
                <w:rFonts w:ascii="Times New Roman" w:hAnsi="Times New Roman"/>
                <w:sz w:val="24"/>
                <w:szCs w:val="24"/>
              </w:rPr>
              <w:t xml:space="preserve"> tematiskas pēcpusdienas </w:t>
            </w:r>
            <w:r w:rsidR="002C40A8">
              <w:rPr>
                <w:rFonts w:ascii="Times New Roman" w:hAnsi="Times New Roman"/>
                <w:sz w:val="24"/>
                <w:szCs w:val="24"/>
              </w:rPr>
              <w:t xml:space="preserve"> “</w:t>
            </w:r>
            <w:r w:rsidR="006D14DC">
              <w:rPr>
                <w:rFonts w:ascii="Times New Roman" w:hAnsi="Times New Roman"/>
                <w:sz w:val="24"/>
                <w:szCs w:val="24"/>
              </w:rPr>
              <w:t xml:space="preserve">Ceļojums </w:t>
            </w:r>
            <w:r w:rsidR="002C40A8">
              <w:rPr>
                <w:rFonts w:ascii="Times New Roman" w:hAnsi="Times New Roman"/>
                <w:sz w:val="24"/>
                <w:szCs w:val="24"/>
              </w:rPr>
              <w:t>t</w:t>
            </w:r>
            <w:r w:rsidR="006D14DC">
              <w:rPr>
                <w:rFonts w:ascii="Times New Roman" w:hAnsi="Times New Roman"/>
                <w:sz w:val="24"/>
                <w:szCs w:val="24"/>
              </w:rPr>
              <w:t>autas pasaku pasaulē”</w:t>
            </w:r>
            <w:r w:rsidR="00416F4F">
              <w:rPr>
                <w:rFonts w:ascii="Times New Roman" w:hAnsi="Times New Roman"/>
                <w:sz w:val="24"/>
                <w:szCs w:val="24"/>
              </w:rPr>
              <w:t>, “Pavasara krāsas”, “Karaoke un diskoballe”</w:t>
            </w:r>
            <w:r w:rsidR="0040335C">
              <w:rPr>
                <w:rFonts w:ascii="Times New Roman" w:hAnsi="Times New Roman"/>
                <w:sz w:val="24"/>
                <w:szCs w:val="24"/>
              </w:rPr>
              <w:t>, “Uzmini melodiju”.</w:t>
            </w:r>
            <w:r w:rsidR="002C40A8">
              <w:rPr>
                <w:rFonts w:ascii="Times New Roman" w:hAnsi="Times New Roman"/>
                <w:sz w:val="24"/>
                <w:szCs w:val="24"/>
              </w:rPr>
              <w:t xml:space="preserve"> Klienti piedalījās pavasara gaidīšanas svētkos “Masļenica” Kalkūnes pagastā, pankūku nedēļā “Tā mēs cepām, cepām, cepām un sacepām”,  ”Laimes dienā” kopā ar sociālo pakalpojumu centra bērniem “Priedīte”, “</w:t>
            </w:r>
            <w:r w:rsidR="00AA0F73">
              <w:rPr>
                <w:rFonts w:ascii="Times New Roman" w:hAnsi="Times New Roman"/>
                <w:sz w:val="24"/>
                <w:szCs w:val="24"/>
              </w:rPr>
              <w:t xml:space="preserve"> </w:t>
            </w:r>
            <w:r w:rsidR="002C40A8">
              <w:rPr>
                <w:rFonts w:ascii="Times New Roman" w:hAnsi="Times New Roman"/>
                <w:sz w:val="24"/>
                <w:szCs w:val="24"/>
              </w:rPr>
              <w:t>Valentīndienas” sirsniņ</w:t>
            </w:r>
            <w:r w:rsidR="00AA0F73">
              <w:rPr>
                <w:rFonts w:ascii="Times New Roman" w:hAnsi="Times New Roman"/>
                <w:sz w:val="24"/>
                <w:szCs w:val="24"/>
              </w:rPr>
              <w:t xml:space="preserve">u </w:t>
            </w:r>
            <w:r w:rsidR="00C06700">
              <w:rPr>
                <w:rFonts w:ascii="Times New Roman" w:hAnsi="Times New Roman"/>
                <w:sz w:val="24"/>
                <w:szCs w:val="24"/>
              </w:rPr>
              <w:t>ballē , radošās darbnīcās “Sveika vasara”,</w:t>
            </w:r>
            <w:r w:rsidR="0040335C">
              <w:rPr>
                <w:rFonts w:ascii="Times New Roman" w:hAnsi="Times New Roman"/>
                <w:sz w:val="24"/>
                <w:szCs w:val="24"/>
              </w:rPr>
              <w:t>”Rudens dāvanas”,</w:t>
            </w:r>
            <w:r w:rsidR="00C06700">
              <w:rPr>
                <w:rFonts w:ascii="Times New Roman" w:hAnsi="Times New Roman"/>
                <w:sz w:val="24"/>
                <w:szCs w:val="24"/>
              </w:rPr>
              <w:t xml:space="preserve"> galda spēļu daudzcīņā,</w:t>
            </w:r>
            <w:r w:rsidR="0040335C">
              <w:rPr>
                <w:rFonts w:ascii="Times New Roman" w:hAnsi="Times New Roman"/>
                <w:sz w:val="24"/>
                <w:szCs w:val="24"/>
              </w:rPr>
              <w:t>sporta dienā “Nāc un sporto” braucienos uz ezeru,</w:t>
            </w:r>
            <w:r w:rsidR="00C06700">
              <w:rPr>
                <w:rFonts w:ascii="Times New Roman" w:hAnsi="Times New Roman"/>
                <w:sz w:val="24"/>
                <w:szCs w:val="24"/>
              </w:rPr>
              <w:t xml:space="preserve"> Līgo svētku pasākumā “Vi</w:t>
            </w:r>
            <w:r w:rsidR="0040335C">
              <w:rPr>
                <w:rFonts w:ascii="Times New Roman" w:hAnsi="Times New Roman"/>
                <w:sz w:val="24"/>
                <w:szCs w:val="24"/>
              </w:rPr>
              <w:t>sa laba Jāņu zāle Līgo vainagā”, konkursā “Mēs meklējam talantus”,pārgājienā “Mūsu ziedošā daba”</w:t>
            </w:r>
          </w:p>
          <w:p w14:paraId="7BC01829" w14:textId="77777777" w:rsidR="00010F09" w:rsidRPr="00787F0F" w:rsidRDefault="00010F09" w:rsidP="00010F09">
            <w:pPr>
              <w:ind w:left="1353"/>
              <w:jc w:val="both"/>
              <w:rPr>
                <w:rFonts w:ascii="Times New Roman" w:hAnsi="Times New Roman"/>
                <w:b/>
                <w:sz w:val="24"/>
                <w:szCs w:val="24"/>
              </w:rPr>
            </w:pPr>
          </w:p>
          <w:p w14:paraId="136BC772" w14:textId="437AF95C" w:rsidR="00010F09" w:rsidRPr="00787F0F" w:rsidRDefault="00B13278" w:rsidP="00010F09">
            <w:pPr>
              <w:ind w:left="1353"/>
              <w:jc w:val="both"/>
              <w:rPr>
                <w:rFonts w:ascii="Times New Roman" w:hAnsi="Times New Roman"/>
                <w:b/>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787F0F">
              <w:rPr>
                <w:rFonts w:ascii="Times New Roman" w:hAnsi="Times New Roman"/>
                <w:b/>
                <w:sz w:val="24"/>
                <w:szCs w:val="24"/>
              </w:rPr>
              <w:t>„Mēmele”</w:t>
            </w:r>
            <w:r w:rsidR="00010F09" w:rsidRPr="00787F0F">
              <w:rPr>
                <w:rFonts w:ascii="Times New Roman" w:hAnsi="Times New Roman"/>
                <w:sz w:val="24"/>
                <w:szCs w:val="24"/>
              </w:rPr>
              <w:t xml:space="preserve"> </w:t>
            </w:r>
            <w:r w:rsidR="00010F09">
              <w:rPr>
                <w:rFonts w:ascii="Times New Roman" w:hAnsi="Times New Roman"/>
                <w:sz w:val="24"/>
                <w:szCs w:val="24"/>
              </w:rPr>
              <w:t>k</w:t>
            </w:r>
            <w:r w:rsidR="0003189A">
              <w:rPr>
                <w:rFonts w:ascii="Times New Roman" w:hAnsi="Times New Roman"/>
                <w:sz w:val="24"/>
                <w:szCs w:val="24"/>
              </w:rPr>
              <w:t xml:space="preserve">lienti Kurmenē apmeklēja Jaungada sarīkojumu senioriem un cilvēkiem ar īpašām </w:t>
            </w:r>
            <w:r w:rsidR="0003189A">
              <w:rPr>
                <w:rFonts w:ascii="Times New Roman" w:hAnsi="Times New Roman"/>
                <w:sz w:val="24"/>
                <w:szCs w:val="24"/>
              </w:rPr>
              <w:lastRenderedPageBreak/>
              <w:t>vajadzībām</w:t>
            </w:r>
            <w:r w:rsidR="0036799B">
              <w:rPr>
                <w:rFonts w:ascii="Times New Roman" w:hAnsi="Times New Roman"/>
                <w:sz w:val="24"/>
                <w:szCs w:val="24"/>
              </w:rPr>
              <w:t>. Filiālē tika rīkotas galda spēļu pēcpusdienas, novusa turnīrs,</w:t>
            </w:r>
            <w:r w:rsidR="00C06700">
              <w:rPr>
                <w:rFonts w:ascii="Times New Roman" w:hAnsi="Times New Roman"/>
                <w:sz w:val="24"/>
                <w:szCs w:val="24"/>
              </w:rPr>
              <w:t xml:space="preserve"> sporta aktivitātes brīvā dabā sporta laukumā,Mēmeles futbola </w:t>
            </w:r>
            <w:r w:rsidR="00266422">
              <w:rPr>
                <w:rFonts w:ascii="Times New Roman" w:hAnsi="Times New Roman"/>
                <w:sz w:val="24"/>
                <w:szCs w:val="24"/>
              </w:rPr>
              <w:t xml:space="preserve">un volejbola </w:t>
            </w:r>
            <w:r w:rsidR="00C06700">
              <w:rPr>
                <w:rFonts w:ascii="Times New Roman" w:hAnsi="Times New Roman"/>
                <w:sz w:val="24"/>
                <w:szCs w:val="24"/>
              </w:rPr>
              <w:t>turnīrā,</w:t>
            </w:r>
            <w:r w:rsidR="0036799B">
              <w:rPr>
                <w:rFonts w:ascii="Times New Roman" w:hAnsi="Times New Roman"/>
                <w:sz w:val="24"/>
                <w:szCs w:val="24"/>
              </w:rPr>
              <w:t xml:space="preserve"> klienti piedalījās mini futbola s</w:t>
            </w:r>
            <w:r w:rsidR="0040335C">
              <w:rPr>
                <w:rFonts w:ascii="Times New Roman" w:hAnsi="Times New Roman"/>
                <w:sz w:val="24"/>
                <w:szCs w:val="24"/>
              </w:rPr>
              <w:t>acensībās Ērberģes sporta hallē un filiālē uz vietas kopā ar darbiniekiem.</w:t>
            </w:r>
            <w:r w:rsidR="0036799B">
              <w:rPr>
                <w:rFonts w:ascii="Times New Roman" w:hAnsi="Times New Roman"/>
                <w:sz w:val="24"/>
                <w:szCs w:val="24"/>
              </w:rPr>
              <w:t xml:space="preserve"> Ar interesi klienti ņēma dalību Karnevālā 2020., Meteņdienas pasākumā, Valent</w:t>
            </w:r>
            <w:r w:rsidR="00A816A9">
              <w:rPr>
                <w:rFonts w:ascii="Times New Roman" w:hAnsi="Times New Roman"/>
                <w:sz w:val="24"/>
                <w:szCs w:val="24"/>
              </w:rPr>
              <w:t>īndienas un Pop ielas  pasākumā, Līgo dienas pasākumā.</w:t>
            </w:r>
            <w:r w:rsidR="0040335C">
              <w:rPr>
                <w:rFonts w:ascii="Times New Roman" w:hAnsi="Times New Roman"/>
                <w:sz w:val="24"/>
                <w:szCs w:val="24"/>
              </w:rPr>
              <w:t>dzejas dienā, kino pēcpusdienās, Miķeļdienas svinībās, Saimnieku un saimnieču dienā.</w:t>
            </w:r>
            <w:r w:rsidR="0036799B">
              <w:rPr>
                <w:rFonts w:ascii="Times New Roman" w:hAnsi="Times New Roman"/>
                <w:sz w:val="24"/>
                <w:szCs w:val="24"/>
              </w:rPr>
              <w:t xml:space="preserve"> Ieskandinot pavasari, folkloras kopa “Kar</w:t>
            </w:r>
            <w:r w:rsidR="00B50CFE">
              <w:rPr>
                <w:rFonts w:ascii="Times New Roman" w:hAnsi="Times New Roman"/>
                <w:sz w:val="24"/>
                <w:szCs w:val="24"/>
              </w:rPr>
              <w:t>ikste” sniedza koncertu filiālē.</w:t>
            </w:r>
            <w:r w:rsidR="0040335C">
              <w:rPr>
                <w:rFonts w:ascii="Times New Roman" w:hAnsi="Times New Roman"/>
                <w:sz w:val="24"/>
                <w:szCs w:val="24"/>
              </w:rPr>
              <w:t>Tika rīkota ekskursija uz Saulkrastiem, Tērvetes dabas takām.</w:t>
            </w:r>
          </w:p>
          <w:p w14:paraId="28CF1F48" w14:textId="77777777" w:rsidR="00010F09" w:rsidRDefault="00010F09" w:rsidP="00010F09">
            <w:pPr>
              <w:ind w:left="1353"/>
              <w:jc w:val="both"/>
              <w:rPr>
                <w:rFonts w:ascii="Times New Roman" w:hAnsi="Times New Roman"/>
                <w:sz w:val="24"/>
                <w:szCs w:val="24"/>
              </w:rPr>
            </w:pPr>
          </w:p>
          <w:p w14:paraId="2CEFCFD8" w14:textId="5DB1B7FB" w:rsidR="00010F09" w:rsidRPr="00D46388" w:rsidRDefault="00010F09" w:rsidP="00010F09">
            <w:pPr>
              <w:ind w:left="1353"/>
              <w:jc w:val="both"/>
              <w:rPr>
                <w:rFonts w:ascii="Times New Roman" w:hAnsi="Times New Roman"/>
                <w:sz w:val="24"/>
                <w:szCs w:val="24"/>
              </w:rPr>
            </w:pPr>
            <w:r w:rsidRPr="00787F0F">
              <w:rPr>
                <w:rFonts w:ascii="Times New Roman" w:hAnsi="Times New Roman"/>
                <w:sz w:val="24"/>
                <w:szCs w:val="24"/>
              </w:rPr>
              <w:t xml:space="preserve">Filiāles </w:t>
            </w:r>
            <w:r w:rsidRPr="00787F0F">
              <w:rPr>
                <w:rFonts w:ascii="Times New Roman" w:hAnsi="Times New Roman"/>
                <w:b/>
                <w:sz w:val="24"/>
                <w:szCs w:val="24"/>
              </w:rPr>
              <w:t>„Litene”</w:t>
            </w:r>
            <w:r w:rsidR="00354E27">
              <w:rPr>
                <w:rFonts w:ascii="Times New Roman" w:hAnsi="Times New Roman"/>
                <w:b/>
                <w:sz w:val="24"/>
                <w:szCs w:val="24"/>
              </w:rPr>
              <w:t xml:space="preserve"> </w:t>
            </w:r>
            <w:r w:rsidR="00354E27" w:rsidRPr="00354E27">
              <w:rPr>
                <w:rFonts w:ascii="Times New Roman" w:hAnsi="Times New Roman"/>
                <w:sz w:val="24"/>
                <w:szCs w:val="24"/>
              </w:rPr>
              <w:t>klientiem tika rīkots</w:t>
            </w:r>
            <w:r w:rsidR="00354E27">
              <w:rPr>
                <w:rFonts w:ascii="Times New Roman" w:hAnsi="Times New Roman"/>
                <w:b/>
                <w:sz w:val="24"/>
                <w:szCs w:val="24"/>
              </w:rPr>
              <w:t xml:space="preserve"> </w:t>
            </w:r>
            <w:r w:rsidRPr="00787F0F">
              <w:rPr>
                <w:rFonts w:ascii="Times New Roman" w:hAnsi="Times New Roman"/>
                <w:sz w:val="24"/>
                <w:szCs w:val="24"/>
              </w:rPr>
              <w:t xml:space="preserve"> </w:t>
            </w:r>
            <w:r w:rsidR="009D59B3">
              <w:rPr>
                <w:rFonts w:ascii="Times New Roman" w:hAnsi="Times New Roman"/>
                <w:sz w:val="24"/>
                <w:szCs w:val="24"/>
              </w:rPr>
              <w:t xml:space="preserve">Meirānu Tautas nama sieviešu deju grupas “Magones” </w:t>
            </w:r>
            <w:r w:rsidR="009D59B3">
              <w:rPr>
                <w:rFonts w:ascii="Times New Roman" w:hAnsi="Times New Roman" w:cs="Times New Roman"/>
                <w:sz w:val="24"/>
                <w:szCs w:val="24"/>
              </w:rPr>
              <w:t>koncerts , Jaunannas pašdarbnieku kolektīvu koncerts “Kad pavasaris skan pumpuros”,</w:t>
            </w:r>
            <w:r w:rsidR="006B4630">
              <w:rPr>
                <w:rFonts w:ascii="Times New Roman" w:hAnsi="Times New Roman" w:cs="Times New Roman"/>
                <w:sz w:val="24"/>
                <w:szCs w:val="24"/>
              </w:rPr>
              <w:t xml:space="preserve"> koncerts “Austrumu pērle”</w:t>
            </w:r>
            <w:r w:rsidR="00AA0F73">
              <w:rPr>
                <w:rFonts w:ascii="Times New Roman" w:hAnsi="Times New Roman" w:cs="Times New Roman"/>
                <w:sz w:val="24"/>
                <w:szCs w:val="24"/>
              </w:rPr>
              <w:t xml:space="preserve"> </w:t>
            </w:r>
            <w:r w:rsidR="006B4630">
              <w:rPr>
                <w:rFonts w:ascii="Times New Roman" w:hAnsi="Times New Roman" w:cs="Times New Roman"/>
                <w:sz w:val="24"/>
                <w:szCs w:val="24"/>
              </w:rPr>
              <w:t>ar deju grupu “Habibi”, Rīgas leļļu teātra izrāde, Madonas pašdarbnieku kolektīvu koncerts, Valentīndienas pasākums</w:t>
            </w:r>
            <w:r w:rsidR="00AA0F73">
              <w:rPr>
                <w:rFonts w:ascii="Times New Roman" w:hAnsi="Times New Roman" w:cs="Times New Roman"/>
                <w:sz w:val="24"/>
                <w:szCs w:val="24"/>
              </w:rPr>
              <w:t xml:space="preserve"> </w:t>
            </w:r>
            <w:r w:rsidR="006B4630">
              <w:rPr>
                <w:rFonts w:ascii="Times New Roman" w:hAnsi="Times New Roman" w:cs="Times New Roman"/>
                <w:sz w:val="24"/>
                <w:szCs w:val="24"/>
              </w:rPr>
              <w:t>”Randiņš Valentīndienā”,</w:t>
            </w:r>
            <w:r w:rsidR="009D59B3">
              <w:rPr>
                <w:rFonts w:ascii="Times New Roman" w:hAnsi="Times New Roman" w:cs="Times New Roman"/>
                <w:sz w:val="24"/>
                <w:szCs w:val="24"/>
              </w:rPr>
              <w:t xml:space="preserve">muzikāla pēcpusdiena “Visi putni dziedāt dzied”, tematiska </w:t>
            </w:r>
            <w:r w:rsidR="006B4630">
              <w:rPr>
                <w:rFonts w:ascii="Times New Roman" w:hAnsi="Times New Roman" w:cs="Times New Roman"/>
                <w:sz w:val="24"/>
                <w:szCs w:val="24"/>
              </w:rPr>
              <w:t>pēcpusdiena “Daudzveidīgā ziema”, “Sveces gaisma dvēselē staro”,</w:t>
            </w:r>
            <w:r w:rsidR="00AA0F73">
              <w:rPr>
                <w:rFonts w:ascii="Times New Roman" w:hAnsi="Times New Roman" w:cs="Times New Roman"/>
                <w:sz w:val="24"/>
                <w:szCs w:val="24"/>
              </w:rPr>
              <w:t xml:space="preserve"> </w:t>
            </w:r>
            <w:r w:rsidR="00A816A9">
              <w:rPr>
                <w:rFonts w:ascii="Times New Roman" w:hAnsi="Times New Roman" w:cs="Times New Roman"/>
                <w:sz w:val="24"/>
                <w:szCs w:val="24"/>
              </w:rPr>
              <w:t>veltījums Teātra dienai, Dzejas pēcpusdienā “Vasariņa ziedu māte”</w:t>
            </w:r>
            <w:r w:rsidR="008A610F">
              <w:rPr>
                <w:rFonts w:ascii="Times New Roman" w:hAnsi="Times New Roman" w:cs="Times New Roman"/>
                <w:sz w:val="24"/>
                <w:szCs w:val="24"/>
              </w:rPr>
              <w:t>, Jāņu vakars ar rotaļām  un dejām.</w:t>
            </w:r>
            <w:r w:rsidR="009D59B3">
              <w:rPr>
                <w:rFonts w:ascii="Times New Roman" w:hAnsi="Times New Roman" w:cs="Times New Roman"/>
                <w:sz w:val="24"/>
                <w:szCs w:val="24"/>
              </w:rPr>
              <w:t xml:space="preserve"> Klienti piedalījās Labestības gada atklāšanas pasākumā Rīgā, mākslas festivālā “Nāc līdzās” Daugavpilī, draudzības vakarā “Ziemas noskaņa” VSAC Rīga filiālē ‘Jugla”, filiāles ansambļa “Noskaņa” un deju grupas koncerts SAC “Jaungulbenes Alejas”</w:t>
            </w:r>
            <w:r w:rsidR="00266422">
              <w:rPr>
                <w:rFonts w:ascii="Times New Roman" w:hAnsi="Times New Roman" w:cs="Times New Roman"/>
                <w:sz w:val="24"/>
                <w:szCs w:val="24"/>
              </w:rPr>
              <w:t xml:space="preserve">, pagalma svētkos ar galda spēlēm, rotaļām, zīmēšanu uz asfalta,zinību dienā “Skolā iet man ļoti patīk”, dārznieku dienā –ražas novākšanā. Tika rīkots pārgājiens “Ieskaties dabā”, rudens kross filiālē,radoši muzikāla </w:t>
            </w:r>
            <w:r w:rsidR="00266422">
              <w:rPr>
                <w:rFonts w:ascii="Times New Roman" w:hAnsi="Times New Roman" w:cs="Times New Roman"/>
                <w:sz w:val="24"/>
                <w:szCs w:val="24"/>
              </w:rPr>
              <w:lastRenderedPageBreak/>
              <w:t>pēcpusdiena,zīmēšanas diena “Vasaras krāsas”, sporta pēcpusdiena “Draudzīgs un aktīvs”, rokdarbu izstāde, Annas diena.</w:t>
            </w:r>
          </w:p>
          <w:p w14:paraId="07055E46" w14:textId="77777777" w:rsidR="00010F09" w:rsidRDefault="00010F09" w:rsidP="00010F09">
            <w:pPr>
              <w:ind w:left="1353"/>
              <w:jc w:val="both"/>
              <w:rPr>
                <w:rFonts w:ascii="Times New Roman" w:hAnsi="Times New Roman"/>
                <w:sz w:val="24"/>
                <w:szCs w:val="24"/>
              </w:rPr>
            </w:pPr>
          </w:p>
          <w:p w14:paraId="1F0C1726" w14:textId="17345F39" w:rsidR="00E3130A" w:rsidRPr="00F903C4" w:rsidRDefault="00B13278" w:rsidP="00E3130A">
            <w:pPr>
              <w:ind w:left="1353"/>
              <w:jc w:val="both"/>
              <w:rPr>
                <w:rFonts w:ascii="Times New Roman" w:hAnsi="Times New Roman" w:cs="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D46388">
              <w:rPr>
                <w:rFonts w:ascii="Times New Roman" w:hAnsi="Times New Roman"/>
                <w:b/>
                <w:sz w:val="24"/>
                <w:szCs w:val="24"/>
              </w:rPr>
              <w:t>„Krastiņi”</w:t>
            </w:r>
            <w:r w:rsidR="00010F09" w:rsidRPr="00787F0F">
              <w:rPr>
                <w:rFonts w:ascii="Times New Roman" w:hAnsi="Times New Roman"/>
                <w:sz w:val="24"/>
                <w:szCs w:val="24"/>
              </w:rPr>
              <w:t xml:space="preserve"> </w:t>
            </w:r>
            <w:r w:rsidR="00010F09">
              <w:rPr>
                <w:rFonts w:ascii="Times New Roman" w:hAnsi="Times New Roman"/>
                <w:sz w:val="24"/>
                <w:szCs w:val="24"/>
              </w:rPr>
              <w:t>k</w:t>
            </w:r>
            <w:r w:rsidR="00010F09" w:rsidRPr="00787F0F">
              <w:rPr>
                <w:rFonts w:ascii="Times New Roman" w:hAnsi="Times New Roman"/>
                <w:sz w:val="24"/>
                <w:szCs w:val="24"/>
              </w:rPr>
              <w:t xml:space="preserve">lienti </w:t>
            </w:r>
            <w:r w:rsidR="006B4630">
              <w:rPr>
                <w:rFonts w:ascii="Times New Roman" w:hAnsi="Times New Roman"/>
                <w:sz w:val="24"/>
                <w:szCs w:val="24"/>
              </w:rPr>
              <w:t>devās ekskursijā uz Aglonas baziliku, Daugavpils Ledus halli, ražotni ‘Ādažu čipsi”</w:t>
            </w:r>
            <w:r w:rsidR="00C73149">
              <w:rPr>
                <w:rFonts w:ascii="Times New Roman" w:hAnsi="Times New Roman"/>
                <w:sz w:val="24"/>
                <w:szCs w:val="24"/>
              </w:rPr>
              <w:t>, pārgājienā “Mežs ziemā”.</w:t>
            </w:r>
            <w:r w:rsidR="006B4630">
              <w:rPr>
                <w:rFonts w:ascii="Times New Roman" w:hAnsi="Times New Roman"/>
                <w:sz w:val="24"/>
                <w:szCs w:val="24"/>
              </w:rPr>
              <w:t xml:space="preserve"> Tika rīkots Pareizticīgo Ziemassvētku dievkalpojums filiālē, Valentīndienas pasākums</w:t>
            </w:r>
            <w:r w:rsidR="00C73149">
              <w:rPr>
                <w:rFonts w:ascii="Times New Roman" w:hAnsi="Times New Roman"/>
                <w:sz w:val="24"/>
                <w:szCs w:val="24"/>
              </w:rPr>
              <w:t xml:space="preserve"> ”</w:t>
            </w:r>
            <w:r w:rsidR="006B4630">
              <w:rPr>
                <w:rFonts w:ascii="Times New Roman" w:hAnsi="Times New Roman"/>
                <w:sz w:val="24"/>
                <w:szCs w:val="24"/>
              </w:rPr>
              <w:t>Gaisma sirdī</w:t>
            </w:r>
            <w:r w:rsidR="00C73149">
              <w:rPr>
                <w:rFonts w:ascii="Times New Roman" w:hAnsi="Times New Roman"/>
                <w:sz w:val="24"/>
                <w:szCs w:val="24"/>
              </w:rPr>
              <w:t>”, radoša pēcpusdiena</w:t>
            </w:r>
            <w:r w:rsidR="00F903C4">
              <w:rPr>
                <w:rFonts w:ascii="Times New Roman" w:hAnsi="Times New Roman"/>
                <w:sz w:val="24"/>
                <w:szCs w:val="24"/>
              </w:rPr>
              <w:t xml:space="preserve"> </w:t>
            </w:r>
            <w:r w:rsidR="00C73149">
              <w:rPr>
                <w:rFonts w:ascii="Times New Roman" w:hAnsi="Times New Roman"/>
                <w:sz w:val="24"/>
                <w:szCs w:val="24"/>
              </w:rPr>
              <w:t>“Mana ziema”, ”Dāvāsim viens otram prieku”, ‘Pasaku burvība”,  tematiska pēcpusdiena vel</w:t>
            </w:r>
            <w:r w:rsidR="008A610F">
              <w:rPr>
                <w:rFonts w:ascii="Times New Roman" w:hAnsi="Times New Roman"/>
                <w:sz w:val="24"/>
                <w:szCs w:val="24"/>
              </w:rPr>
              <w:t>tīta dzejniekam Ivanam Krilovam,izglītojoša pēcpusdiena “Jāņu zāles meklējot”, “Ziedi uz asfalta “rado</w:t>
            </w:r>
            <w:r w:rsidR="004468E4">
              <w:rPr>
                <w:rFonts w:ascii="Times New Roman" w:hAnsi="Times New Roman"/>
                <w:sz w:val="24"/>
                <w:szCs w:val="24"/>
              </w:rPr>
              <w:t>ša pēcpusdiena, Jāņu ielīgošana,izstāde “Rudens veltes”.</w:t>
            </w:r>
            <w:r w:rsidR="00AA0F73">
              <w:rPr>
                <w:rFonts w:ascii="Times New Roman" w:hAnsi="Times New Roman"/>
                <w:sz w:val="24"/>
                <w:szCs w:val="24"/>
              </w:rPr>
              <w:t xml:space="preserve"> </w:t>
            </w:r>
            <w:r w:rsidR="00C73149">
              <w:rPr>
                <w:rFonts w:ascii="Times New Roman" w:hAnsi="Times New Roman"/>
                <w:sz w:val="24"/>
                <w:szCs w:val="24"/>
              </w:rPr>
              <w:t>Aktīvākie sportot gribētāji piedalījās novusa turnīrā, orientēšanās spēlē “Kvests”,</w:t>
            </w:r>
            <w:r w:rsidR="00935637">
              <w:rPr>
                <w:rFonts w:ascii="Times New Roman" w:hAnsi="Times New Roman"/>
                <w:sz w:val="24"/>
                <w:szCs w:val="24"/>
              </w:rPr>
              <w:t xml:space="preserve"> </w:t>
            </w:r>
            <w:r w:rsidR="00C73149">
              <w:rPr>
                <w:rFonts w:ascii="Times New Roman" w:hAnsi="Times New Roman"/>
                <w:sz w:val="24"/>
                <w:szCs w:val="24"/>
              </w:rPr>
              <w:t>p</w:t>
            </w:r>
            <w:r w:rsidR="008A610F">
              <w:rPr>
                <w:rFonts w:ascii="Times New Roman" w:hAnsi="Times New Roman"/>
                <w:sz w:val="24"/>
                <w:szCs w:val="24"/>
              </w:rPr>
              <w:t>asākumā “Veiklais makšķernieks”,</w:t>
            </w:r>
            <w:r w:rsidR="00935637">
              <w:rPr>
                <w:rFonts w:ascii="Times New Roman" w:hAnsi="Times New Roman"/>
                <w:sz w:val="24"/>
                <w:szCs w:val="24"/>
              </w:rPr>
              <w:t xml:space="preserve"> </w:t>
            </w:r>
            <w:r w:rsidR="008A610F">
              <w:rPr>
                <w:rFonts w:ascii="Times New Roman" w:hAnsi="Times New Roman"/>
                <w:sz w:val="24"/>
                <w:szCs w:val="24"/>
              </w:rPr>
              <w:t>sporta pasā</w:t>
            </w:r>
            <w:r w:rsidR="00266422">
              <w:rPr>
                <w:rFonts w:ascii="Times New Roman" w:hAnsi="Times New Roman"/>
                <w:sz w:val="24"/>
                <w:szCs w:val="24"/>
              </w:rPr>
              <w:t>kumā “Veselā miesā vesels gars”, “Uzspēlēsim kopā</w:t>
            </w:r>
            <w:r w:rsidR="004468E4">
              <w:rPr>
                <w:rFonts w:ascii="Times New Roman" w:hAnsi="Times New Roman"/>
                <w:sz w:val="24"/>
                <w:szCs w:val="24"/>
              </w:rPr>
              <w:t>”, “Paskrien, paskrien, pietupies...</w:t>
            </w:r>
            <w:r w:rsidR="00C73149">
              <w:rPr>
                <w:rFonts w:ascii="Times New Roman" w:hAnsi="Times New Roman"/>
                <w:sz w:val="24"/>
                <w:szCs w:val="24"/>
              </w:rPr>
              <w:t xml:space="preserve"> Deju kolektīvs “Pelēči” sniedza koncertu “Jaukās lēdijas”.</w:t>
            </w:r>
          </w:p>
          <w:p w14:paraId="006427EE" w14:textId="77777777" w:rsidR="00010F09" w:rsidRDefault="00010F09" w:rsidP="00010F09">
            <w:pPr>
              <w:ind w:left="1353" w:hanging="360"/>
              <w:jc w:val="both"/>
              <w:rPr>
                <w:rFonts w:ascii="Times New Roman" w:hAnsi="Times New Roman"/>
                <w:sz w:val="24"/>
                <w:szCs w:val="24"/>
              </w:rPr>
            </w:pPr>
          </w:p>
          <w:p w14:paraId="1D5C88F0" w14:textId="225E1CBC" w:rsidR="00010F09" w:rsidRPr="00787F0F" w:rsidRDefault="00B13278" w:rsidP="00010F09">
            <w:pPr>
              <w:ind w:left="1353"/>
              <w:jc w:val="both"/>
              <w:rPr>
                <w:rFonts w:ascii="Times New Roman" w:hAnsi="Times New Roman"/>
                <w:sz w:val="24"/>
                <w:szCs w:val="24"/>
              </w:rPr>
            </w:pPr>
            <w:r>
              <w:rPr>
                <w:rFonts w:ascii="Times New Roman" w:hAnsi="Times New Roman"/>
                <w:sz w:val="24"/>
                <w:szCs w:val="24"/>
              </w:rPr>
              <w:t>Filiālē</w:t>
            </w:r>
            <w:r w:rsidR="00010F09" w:rsidRPr="00787F0F">
              <w:rPr>
                <w:rFonts w:ascii="Times New Roman" w:hAnsi="Times New Roman"/>
                <w:sz w:val="24"/>
                <w:szCs w:val="24"/>
              </w:rPr>
              <w:t xml:space="preserve"> </w:t>
            </w:r>
            <w:r w:rsidR="00010F09" w:rsidRPr="00787F0F">
              <w:rPr>
                <w:rFonts w:ascii="Times New Roman" w:hAnsi="Times New Roman"/>
                <w:b/>
                <w:sz w:val="24"/>
                <w:szCs w:val="24"/>
              </w:rPr>
              <w:t>„Kalupe”</w:t>
            </w:r>
            <w:r w:rsidR="0083460D">
              <w:rPr>
                <w:rFonts w:ascii="Times New Roman" w:hAnsi="Times New Roman"/>
                <w:sz w:val="24"/>
                <w:szCs w:val="24"/>
              </w:rPr>
              <w:t xml:space="preserve"> Jaungadā klientiem tika rīkots karnevāls ar dejām,</w:t>
            </w:r>
            <w:r w:rsidR="00C73149">
              <w:rPr>
                <w:rFonts w:ascii="Times New Roman" w:hAnsi="Times New Roman"/>
                <w:sz w:val="24"/>
                <w:szCs w:val="24"/>
              </w:rPr>
              <w:t xml:space="preserve"> rotaļām un diskotēku, pašdarbnieku koncerts “Ar prieku Jauno gadu sāc”, muzikāla pēcpusdiena “Uzmini melodiju”, skatuves runas konkurss “Tici SEV ! “</w:t>
            </w:r>
            <w:r w:rsidR="0048745E">
              <w:rPr>
                <w:rFonts w:ascii="Times New Roman" w:hAnsi="Times New Roman"/>
                <w:sz w:val="24"/>
                <w:szCs w:val="24"/>
              </w:rPr>
              <w:t>, radoša darbnīca “Valentīndienu gaidot”, koncerts, zīmējumu un rokdarbu</w:t>
            </w:r>
            <w:r w:rsidR="008A610F">
              <w:rPr>
                <w:rFonts w:ascii="Times New Roman" w:hAnsi="Times New Roman"/>
                <w:sz w:val="24"/>
                <w:szCs w:val="24"/>
              </w:rPr>
              <w:t xml:space="preserve"> izstāde veltīta Valentīndienai,</w:t>
            </w:r>
            <w:r w:rsidR="00AB4C0D">
              <w:rPr>
                <w:rFonts w:ascii="Times New Roman" w:hAnsi="Times New Roman"/>
                <w:sz w:val="24"/>
                <w:szCs w:val="24"/>
              </w:rPr>
              <w:t>”Atvadas vasarai”,”Vasara-skaistākais gadalaiks”,izstāde no rudens veltēm,</w:t>
            </w:r>
            <w:r w:rsidR="008A610F">
              <w:rPr>
                <w:rFonts w:ascii="Times New Roman" w:hAnsi="Times New Roman"/>
                <w:sz w:val="24"/>
                <w:szCs w:val="24"/>
              </w:rPr>
              <w:t xml:space="preserve"> radošas darbnīcas “Jāņu dienu gaidot”,</w:t>
            </w:r>
            <w:r w:rsidR="00AB4C0D">
              <w:rPr>
                <w:rFonts w:ascii="Times New Roman" w:hAnsi="Times New Roman"/>
                <w:sz w:val="24"/>
                <w:szCs w:val="24"/>
              </w:rPr>
              <w:t xml:space="preserve"> Mozaīku veidošana no dabas materiāliem”, viktorīna “Esi zinātkārs”</w:t>
            </w:r>
            <w:r w:rsidR="008A610F">
              <w:rPr>
                <w:rFonts w:ascii="Times New Roman" w:hAnsi="Times New Roman"/>
                <w:sz w:val="24"/>
                <w:szCs w:val="24"/>
              </w:rPr>
              <w:t xml:space="preserve"> pārgājiens dabas draugiem Kalupes apkaimē,Vasaras saulgriežu pasākums,sporta aktivitātes b</w:t>
            </w:r>
            <w:r w:rsidR="00266422">
              <w:rPr>
                <w:rFonts w:ascii="Times New Roman" w:hAnsi="Times New Roman"/>
                <w:sz w:val="24"/>
                <w:szCs w:val="24"/>
              </w:rPr>
              <w:t xml:space="preserve">rīvā dabā, </w:t>
            </w:r>
            <w:r w:rsidR="0048745E">
              <w:rPr>
                <w:rFonts w:ascii="Times New Roman" w:hAnsi="Times New Roman"/>
                <w:sz w:val="24"/>
                <w:szCs w:val="24"/>
              </w:rPr>
              <w:t xml:space="preserve"> Klienti devās ekskursijā uz Daugavpils Olimpisko centru, Daugavpils </w:t>
            </w:r>
            <w:r w:rsidR="0048745E">
              <w:rPr>
                <w:rFonts w:ascii="Times New Roman" w:hAnsi="Times New Roman"/>
                <w:sz w:val="24"/>
                <w:szCs w:val="24"/>
              </w:rPr>
              <w:lastRenderedPageBreak/>
              <w:t>novadpētniecības muzeju, apmeklēja Kalupes pagasta pasākumu ”Atmiņu liesmiņu iedegšana” par godu 1991. gada barikāžu aizstāvju atceres dienai, Novusa turnīru filiāles “Kalupe”, SAC “Višķi”, SPC “Pīlādzis” klientiem. Vokālais ansamblis “Retro” sniedza koncertu filiālē, tika rīkots konkurss filiālē “Mis”</w:t>
            </w:r>
            <w:r w:rsidR="00AA0F73">
              <w:rPr>
                <w:rFonts w:ascii="Times New Roman" w:hAnsi="Times New Roman"/>
                <w:sz w:val="24"/>
                <w:szCs w:val="24"/>
              </w:rPr>
              <w:t xml:space="preserve"> </w:t>
            </w:r>
            <w:r w:rsidR="0048745E">
              <w:rPr>
                <w:rFonts w:ascii="Times New Roman" w:hAnsi="Times New Roman"/>
                <w:sz w:val="24"/>
                <w:szCs w:val="24"/>
              </w:rPr>
              <w:t>un “Misters” 2020.</w:t>
            </w:r>
          </w:p>
          <w:p w14:paraId="01FE30DD" w14:textId="77777777" w:rsidR="00010F09" w:rsidRDefault="00010F09" w:rsidP="00010F09">
            <w:pPr>
              <w:ind w:left="1353" w:hanging="360"/>
              <w:jc w:val="both"/>
              <w:rPr>
                <w:rFonts w:ascii="Times New Roman" w:hAnsi="Times New Roman"/>
                <w:sz w:val="24"/>
                <w:szCs w:val="24"/>
              </w:rPr>
            </w:pPr>
          </w:p>
          <w:p w14:paraId="00659A6D" w14:textId="77777777" w:rsidR="00010F09" w:rsidRDefault="00010F09" w:rsidP="00010F09">
            <w:pPr>
              <w:widowControl w:val="0"/>
              <w:ind w:left="851"/>
              <w:rPr>
                <w:rFonts w:ascii="Times New Roman" w:hAnsi="Times New Roman"/>
                <w:sz w:val="24"/>
                <w:szCs w:val="24"/>
              </w:rPr>
            </w:pPr>
          </w:p>
          <w:p w14:paraId="6CFD768A" w14:textId="7A0F275D" w:rsidR="00010F09" w:rsidRPr="00CC77D5" w:rsidRDefault="00010F09" w:rsidP="00A70DEB">
            <w:pPr>
              <w:widowControl w:val="0"/>
              <w:ind w:left="851"/>
              <w:rPr>
                <w:rFonts w:ascii="Times New Roman" w:hAnsi="Times New Roman" w:cs="Times New Roman"/>
                <w:u w:val="single"/>
              </w:rPr>
            </w:pPr>
          </w:p>
        </w:tc>
      </w:tr>
      <w:tr w:rsidR="00F36792" w:rsidRPr="00CC77D5" w14:paraId="1006BB76" w14:textId="77777777" w:rsidTr="00F36792">
        <w:tc>
          <w:tcPr>
            <w:tcW w:w="6947" w:type="dxa"/>
          </w:tcPr>
          <w:p w14:paraId="6085C1CC" w14:textId="77777777" w:rsidR="00F36792" w:rsidRPr="00CC77D5" w:rsidRDefault="00F36792" w:rsidP="00602E7A">
            <w:pPr>
              <w:tabs>
                <w:tab w:val="left" w:pos="6812"/>
              </w:tabs>
              <w:spacing w:before="60"/>
              <w:jc w:val="center"/>
              <w:rPr>
                <w:rFonts w:ascii="Times New Roman" w:hAnsi="Times New Roman" w:cs="Times New Roman"/>
                <w:b/>
              </w:rPr>
            </w:pPr>
            <w:r w:rsidRPr="00CC77D5">
              <w:rPr>
                <w:rFonts w:ascii="Times New Roman" w:hAnsi="Times New Roman" w:cs="Times New Roman"/>
                <w:b/>
              </w:rPr>
              <w:lastRenderedPageBreak/>
              <w:t>Programmas/apakšprogrammas kods</w:t>
            </w:r>
          </w:p>
          <w:p w14:paraId="0668A81F" w14:textId="77777777" w:rsidR="00F36792" w:rsidRPr="003A3506" w:rsidRDefault="00F36792" w:rsidP="00602E7A">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78066E26" w14:textId="77777777" w:rsidR="00F36792" w:rsidRDefault="00F36792" w:rsidP="00602E7A">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29BC8D2F" w14:textId="40FEE6A6" w:rsidR="00F36792" w:rsidRPr="001A7370" w:rsidRDefault="00F36792" w:rsidP="00602E7A">
            <w:pPr>
              <w:ind w:left="720"/>
              <w:rPr>
                <w:rFonts w:ascii="Times New Roman" w:hAnsi="Times New Roman"/>
                <w:b/>
                <w:sz w:val="24"/>
                <w:szCs w:val="24"/>
                <w:lang w:eastAsia="lv-LV"/>
              </w:rPr>
            </w:pPr>
            <w:r w:rsidRPr="00030F63">
              <w:rPr>
                <w:rFonts w:ascii="Times New Roman" w:hAnsi="Times New Roman"/>
                <w:b/>
                <w:sz w:val="24"/>
                <w:szCs w:val="24"/>
                <w:lang w:eastAsia="lv-LV"/>
              </w:rPr>
              <w:t>99.00.00 Līdzekļu neparedzētiem gadījumiem izlietojums .</w:t>
            </w:r>
          </w:p>
          <w:p w14:paraId="418114C6" w14:textId="77777777" w:rsidR="00F36792" w:rsidRPr="003A3506" w:rsidRDefault="00F36792" w:rsidP="00602E7A">
            <w:pPr>
              <w:tabs>
                <w:tab w:val="left" w:pos="6812"/>
              </w:tabs>
              <w:spacing w:before="60" w:after="120"/>
              <w:rPr>
                <w:rFonts w:ascii="Times New Roman" w:hAnsi="Times New Roman" w:cs="Times New Roman"/>
              </w:rPr>
            </w:pPr>
          </w:p>
        </w:tc>
      </w:tr>
      <w:tr w:rsidR="00F36792" w:rsidRPr="00CC77D5" w14:paraId="07603DDF" w14:textId="77777777" w:rsidTr="00F36792">
        <w:trPr>
          <w:gridAfter w:val="1"/>
          <w:wAfter w:w="13" w:type="dxa"/>
        </w:trPr>
        <w:tc>
          <w:tcPr>
            <w:tcW w:w="6947" w:type="dxa"/>
          </w:tcPr>
          <w:p w14:paraId="6D5254F0" w14:textId="77777777" w:rsidR="00F36792" w:rsidRPr="00CC77D5" w:rsidRDefault="00F36792" w:rsidP="00602E7A">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0A916870" w14:textId="77777777" w:rsidR="00F36792" w:rsidRPr="00CC77D5" w:rsidRDefault="00F36792" w:rsidP="00602E7A">
            <w:pPr>
              <w:tabs>
                <w:tab w:val="left" w:pos="993"/>
              </w:tabs>
              <w:spacing w:before="40" w:after="40"/>
              <w:rPr>
                <w:rFonts w:ascii="Times New Roman" w:hAnsi="Times New Roman" w:cs="Times New Roman"/>
                <w:b/>
              </w:rPr>
            </w:pPr>
          </w:p>
        </w:tc>
      </w:tr>
      <w:tr w:rsidR="00F36792" w:rsidRPr="00CC77D5" w14:paraId="2087F3C0" w14:textId="77777777" w:rsidTr="00F36792">
        <w:trPr>
          <w:gridAfter w:val="1"/>
          <w:wAfter w:w="13" w:type="dxa"/>
        </w:trPr>
        <w:tc>
          <w:tcPr>
            <w:tcW w:w="6947" w:type="dxa"/>
          </w:tcPr>
          <w:p w14:paraId="12325BCC" w14:textId="652C06C4" w:rsidR="00F36792" w:rsidRPr="00F36792" w:rsidRDefault="00F36792" w:rsidP="00F36792">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tcPr>
          <w:p w14:paraId="30F85509" w14:textId="00C3C426" w:rsidR="00F36792" w:rsidRPr="005A0023" w:rsidRDefault="00085233" w:rsidP="00602E7A">
            <w:pPr>
              <w:pStyle w:val="ListParagraph"/>
              <w:numPr>
                <w:ilvl w:val="0"/>
                <w:numId w:val="34"/>
              </w:numPr>
              <w:rPr>
                <w:rFonts w:ascii="Times New Roman" w:hAnsi="Times New Roman"/>
                <w:sz w:val="24"/>
                <w:szCs w:val="24"/>
                <w:lang w:eastAsia="lv-LV"/>
              </w:rPr>
            </w:pPr>
            <w:r>
              <w:rPr>
                <w:rFonts w:ascii="Times New Roman" w:hAnsi="Times New Roman"/>
                <w:sz w:val="24"/>
                <w:szCs w:val="24"/>
                <w:lang w:eastAsia="lv-LV"/>
              </w:rPr>
              <w:t xml:space="preserve">Nodrošināta COVID-19 izplatības un masveida inficēšanās gadījumu novēršana un saslimšanas risku mazināšana </w:t>
            </w:r>
            <w:r w:rsidR="006B1814">
              <w:rPr>
                <w:rFonts w:ascii="Times New Roman" w:hAnsi="Times New Roman"/>
                <w:sz w:val="24"/>
                <w:szCs w:val="24"/>
                <w:lang w:eastAsia="lv-LV"/>
              </w:rPr>
              <w:t>871,5</w:t>
            </w:r>
            <w:r>
              <w:rPr>
                <w:rFonts w:ascii="Times New Roman" w:hAnsi="Times New Roman"/>
                <w:sz w:val="24"/>
                <w:szCs w:val="24"/>
                <w:lang w:eastAsia="lv-LV"/>
              </w:rPr>
              <w:t xml:space="preserve"> klientiem piecās filiālēs.</w:t>
            </w:r>
          </w:p>
          <w:p w14:paraId="41E30F63" w14:textId="77777777" w:rsidR="00F36792" w:rsidRPr="005A0023" w:rsidRDefault="00F36792" w:rsidP="00602E7A">
            <w:pPr>
              <w:tabs>
                <w:tab w:val="left" w:pos="993"/>
              </w:tabs>
              <w:rPr>
                <w:rFonts w:ascii="Times New Roman" w:hAnsi="Times New Roman" w:cs="Times New Roman"/>
                <w:b/>
              </w:rPr>
            </w:pPr>
          </w:p>
          <w:p w14:paraId="3ED22FFE" w14:textId="77777777" w:rsidR="00F36792" w:rsidRPr="005A0023" w:rsidRDefault="00F36792" w:rsidP="00602E7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F36792" w:rsidRPr="005A0023" w14:paraId="3D31A962" w14:textId="77777777" w:rsidTr="00F36792">
        <w:trPr>
          <w:gridAfter w:val="1"/>
          <w:wAfter w:w="13" w:type="dxa"/>
        </w:trPr>
        <w:tc>
          <w:tcPr>
            <w:tcW w:w="6947" w:type="dxa"/>
          </w:tcPr>
          <w:p w14:paraId="1A9EC360" w14:textId="02720718" w:rsidR="00F36792" w:rsidRPr="00CF2AF5" w:rsidRDefault="00F36792" w:rsidP="00F36792">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1537ABD3" w14:textId="77777777" w:rsidR="00F36792" w:rsidRPr="00CC77D5" w:rsidRDefault="00F36792" w:rsidP="00E41281">
            <w:pPr>
              <w:pStyle w:val="ListParagraph"/>
              <w:tabs>
                <w:tab w:val="left" w:pos="993"/>
              </w:tabs>
              <w:ind w:left="286"/>
              <w:rPr>
                <w:rFonts w:ascii="Times New Roman" w:hAnsi="Times New Roman" w:cs="Times New Roman"/>
              </w:rPr>
            </w:pPr>
          </w:p>
        </w:tc>
        <w:tc>
          <w:tcPr>
            <w:tcW w:w="7046" w:type="dxa"/>
          </w:tcPr>
          <w:p w14:paraId="13C77541" w14:textId="77777777" w:rsidR="00F36792" w:rsidRPr="00787F0F" w:rsidRDefault="00F36792" w:rsidP="00602E7A">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20</w:t>
            </w:r>
            <w:r w:rsidRPr="00787F0F">
              <w:rPr>
                <w:rFonts w:ascii="Times New Roman" w:hAnsi="Times New Roman"/>
                <w:i/>
                <w:sz w:val="24"/>
                <w:szCs w:val="24"/>
                <w:lang w:eastAsia="lv-LV"/>
              </w:rPr>
              <w:t xml:space="preserve">. gada </w:t>
            </w:r>
            <w:r>
              <w:rPr>
                <w:rFonts w:ascii="Times New Roman" w:hAnsi="Times New Roman"/>
                <w:i/>
                <w:sz w:val="24"/>
                <w:szCs w:val="24"/>
                <w:lang w:eastAsia="lv-LV"/>
              </w:rPr>
              <w:t>9</w:t>
            </w:r>
            <w:r w:rsidRPr="00787F0F">
              <w:rPr>
                <w:rFonts w:ascii="Times New Roman" w:hAnsi="Times New Roman"/>
                <w:i/>
                <w:sz w:val="24"/>
                <w:szCs w:val="24"/>
                <w:lang w:eastAsia="lv-LV"/>
              </w:rPr>
              <w:t xml:space="preserve"> mēnešos ir veikti sekojoši pasākumi:</w:t>
            </w:r>
          </w:p>
          <w:p w14:paraId="65E9E98C" w14:textId="77777777" w:rsidR="00F36792" w:rsidRPr="00134644" w:rsidRDefault="00F36792" w:rsidP="00602E7A">
            <w:pPr>
              <w:tabs>
                <w:tab w:val="left" w:pos="567"/>
              </w:tabs>
              <w:jc w:val="both"/>
              <w:rPr>
                <w:rFonts w:ascii="Times New Roman" w:hAnsi="Times New Roman"/>
                <w:b/>
                <w:sz w:val="24"/>
                <w:szCs w:val="24"/>
                <w:lang w:eastAsia="lv-LV"/>
              </w:rPr>
            </w:pPr>
          </w:p>
          <w:p w14:paraId="59B17CC5" w14:textId="7E5BA3FF" w:rsidR="00F36792" w:rsidRPr="003B4F92" w:rsidRDefault="004870C8" w:rsidP="00602E7A">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 xml:space="preserve">Lai kompensētu izdevumus saistībā ar īstenotajiem COVID-19 pretepidēmijas pasākumus </w:t>
            </w:r>
            <w:r w:rsidR="00F36792">
              <w:rPr>
                <w:rFonts w:ascii="Times New Roman" w:hAnsi="Times New Roman"/>
                <w:sz w:val="24"/>
                <w:szCs w:val="24"/>
                <w:lang w:eastAsia="lv-LV"/>
              </w:rPr>
              <w:t xml:space="preserve">Filiālēs ”Mēmele”, “Litene”, ”Krastiņi”, ”Kalupe”,  “Kalkūni” ir </w:t>
            </w:r>
            <w:r w:rsidR="00B17D0A">
              <w:rPr>
                <w:rFonts w:ascii="Times New Roman" w:hAnsi="Times New Roman"/>
                <w:sz w:val="24"/>
                <w:szCs w:val="24"/>
                <w:lang w:eastAsia="lv-LV"/>
              </w:rPr>
              <w:t>iegādāti individu</w:t>
            </w:r>
            <w:r w:rsidR="004517C6">
              <w:rPr>
                <w:rFonts w:ascii="Times New Roman" w:hAnsi="Times New Roman"/>
                <w:sz w:val="24"/>
                <w:szCs w:val="24"/>
                <w:lang w:eastAsia="lv-LV"/>
              </w:rPr>
              <w:t>ālie aizsardz</w:t>
            </w:r>
            <w:r w:rsidR="00B17D0A">
              <w:rPr>
                <w:rFonts w:ascii="Times New Roman" w:hAnsi="Times New Roman"/>
                <w:sz w:val="24"/>
                <w:szCs w:val="24"/>
                <w:lang w:eastAsia="lv-LV"/>
              </w:rPr>
              <w:t>ības līdzekļi</w:t>
            </w:r>
            <w:r w:rsidR="00E52605">
              <w:rPr>
                <w:rFonts w:ascii="Times New Roman" w:hAnsi="Times New Roman"/>
                <w:sz w:val="24"/>
                <w:szCs w:val="24"/>
                <w:lang w:eastAsia="lv-LV"/>
              </w:rPr>
              <w:t xml:space="preserve"> un inventārs</w:t>
            </w:r>
            <w:r w:rsidR="00B17D0A">
              <w:rPr>
                <w:rFonts w:ascii="Times New Roman" w:hAnsi="Times New Roman"/>
                <w:sz w:val="24"/>
                <w:szCs w:val="24"/>
                <w:lang w:eastAsia="lv-LV"/>
              </w:rPr>
              <w:t xml:space="preserve">, telpu un virsmu </w:t>
            </w:r>
            <w:r>
              <w:rPr>
                <w:rFonts w:ascii="Times New Roman" w:hAnsi="Times New Roman"/>
                <w:sz w:val="24"/>
                <w:szCs w:val="24"/>
                <w:lang w:eastAsia="lv-LV"/>
              </w:rPr>
              <w:t>dezinfekcijas</w:t>
            </w:r>
            <w:r w:rsidR="00B17D0A">
              <w:rPr>
                <w:rFonts w:ascii="Times New Roman" w:hAnsi="Times New Roman"/>
                <w:sz w:val="24"/>
                <w:szCs w:val="24"/>
                <w:lang w:eastAsia="lv-LV"/>
              </w:rPr>
              <w:t xml:space="preserve"> līdzekļi par </w:t>
            </w:r>
            <w:r w:rsidR="004517C6">
              <w:rPr>
                <w:rFonts w:ascii="Times New Roman" w:hAnsi="Times New Roman"/>
                <w:sz w:val="24"/>
                <w:szCs w:val="24"/>
                <w:lang w:eastAsia="lv-LV"/>
              </w:rPr>
              <w:t>27</w:t>
            </w:r>
            <w:r w:rsidR="00E52605">
              <w:rPr>
                <w:rFonts w:ascii="Times New Roman" w:hAnsi="Times New Roman"/>
                <w:sz w:val="24"/>
                <w:szCs w:val="24"/>
                <w:lang w:eastAsia="lv-LV"/>
              </w:rPr>
              <w:t> 685,40</w:t>
            </w:r>
            <w:r w:rsidR="004517C6">
              <w:rPr>
                <w:rFonts w:ascii="Times New Roman" w:hAnsi="Times New Roman"/>
                <w:sz w:val="24"/>
                <w:szCs w:val="24"/>
                <w:lang w:eastAsia="lv-LV"/>
              </w:rPr>
              <w:t xml:space="preserve"> </w:t>
            </w:r>
            <w:r w:rsidR="004517C6" w:rsidRPr="004517C6">
              <w:rPr>
                <w:rFonts w:ascii="Times New Roman" w:hAnsi="Times New Roman"/>
                <w:i/>
                <w:sz w:val="24"/>
                <w:szCs w:val="24"/>
                <w:lang w:eastAsia="lv-LV"/>
              </w:rPr>
              <w:t>euro</w:t>
            </w:r>
            <w:r w:rsidR="004517C6">
              <w:rPr>
                <w:rFonts w:ascii="Times New Roman" w:hAnsi="Times New Roman"/>
                <w:i/>
                <w:sz w:val="24"/>
                <w:szCs w:val="24"/>
                <w:lang w:eastAsia="lv-LV"/>
              </w:rPr>
              <w:t>.</w:t>
            </w:r>
          </w:p>
          <w:p w14:paraId="090C7467" w14:textId="77777777" w:rsidR="00F36792" w:rsidRPr="00134644" w:rsidRDefault="00F36792" w:rsidP="00602E7A">
            <w:pPr>
              <w:ind w:left="709"/>
              <w:rPr>
                <w:rFonts w:ascii="Times New Roman" w:hAnsi="Times New Roman"/>
                <w:sz w:val="24"/>
                <w:szCs w:val="24"/>
                <w:lang w:eastAsia="lv-LV"/>
              </w:rPr>
            </w:pPr>
          </w:p>
          <w:p w14:paraId="3DDA36EF" w14:textId="6841D02F" w:rsidR="00F36792" w:rsidRPr="00742672" w:rsidRDefault="004870C8" w:rsidP="00602E7A">
            <w:pPr>
              <w:ind w:left="567"/>
              <w:jc w:val="both"/>
              <w:rPr>
                <w:rFonts w:ascii="Times New Roman" w:hAnsi="Times New Roman"/>
                <w:sz w:val="24"/>
                <w:szCs w:val="24"/>
                <w:lang w:eastAsia="lv-LV"/>
              </w:rPr>
            </w:pPr>
            <w:r w:rsidRPr="004870C8">
              <w:rPr>
                <w:rFonts w:ascii="Times New Roman" w:hAnsi="Times New Roman"/>
                <w:sz w:val="24"/>
                <w:szCs w:val="24"/>
                <w:lang w:eastAsia="lv-LV"/>
              </w:rPr>
              <w:t>Lai veicinātu klientu drošību un mazinātu risku inficēties ar COVID-19</w:t>
            </w:r>
            <w:r w:rsidR="00F36792" w:rsidRPr="004870C8">
              <w:rPr>
                <w:rFonts w:ascii="Times New Roman" w:hAnsi="Times New Roman"/>
                <w:i/>
                <w:sz w:val="24"/>
                <w:szCs w:val="24"/>
                <w:lang w:eastAsia="lv-LV"/>
              </w:rPr>
              <w:t xml:space="preserve"> </w:t>
            </w:r>
            <w:r w:rsidRPr="004870C8">
              <w:rPr>
                <w:rFonts w:ascii="Times New Roman" w:hAnsi="Times New Roman"/>
                <w:b/>
                <w:i/>
                <w:sz w:val="24"/>
                <w:szCs w:val="24"/>
                <w:lang w:eastAsia="lv-LV"/>
              </w:rPr>
              <w:t>k</w:t>
            </w:r>
            <w:r w:rsidR="00F36792" w:rsidRPr="004870C8">
              <w:rPr>
                <w:rFonts w:ascii="Times New Roman" w:hAnsi="Times New Roman"/>
                <w:b/>
                <w:i/>
                <w:sz w:val="24"/>
                <w:szCs w:val="24"/>
                <w:lang w:eastAsia="lv-LV"/>
              </w:rPr>
              <w:t>apitāliem izdevumiem pavisam izlietoti</w:t>
            </w:r>
            <w:r w:rsidR="00F36792" w:rsidRPr="004870C8">
              <w:rPr>
                <w:rFonts w:ascii="Times New Roman" w:hAnsi="Times New Roman"/>
                <w:i/>
                <w:sz w:val="24"/>
                <w:szCs w:val="24"/>
                <w:lang w:eastAsia="lv-LV"/>
              </w:rPr>
              <w:t xml:space="preserve"> </w:t>
            </w:r>
            <w:r w:rsidR="00E52605" w:rsidRPr="004870C8">
              <w:rPr>
                <w:rFonts w:ascii="Times New Roman" w:hAnsi="Times New Roman"/>
                <w:b/>
                <w:i/>
                <w:sz w:val="24"/>
                <w:szCs w:val="24"/>
                <w:lang w:eastAsia="lv-LV"/>
              </w:rPr>
              <w:t>15 426,90</w:t>
            </w:r>
            <w:r w:rsidR="00F36792" w:rsidRPr="004870C8">
              <w:rPr>
                <w:rFonts w:ascii="Times New Roman" w:hAnsi="Times New Roman"/>
                <w:i/>
                <w:sz w:val="24"/>
                <w:szCs w:val="24"/>
                <w:lang w:eastAsia="lv-LV"/>
              </w:rPr>
              <w:t xml:space="preserve"> euro, t</w:t>
            </w:r>
            <w:r w:rsidR="00F36792" w:rsidRPr="00742672">
              <w:rPr>
                <w:rFonts w:ascii="Times New Roman" w:hAnsi="Times New Roman"/>
                <w:i/>
                <w:sz w:val="24"/>
                <w:szCs w:val="24"/>
                <w:lang w:eastAsia="lv-LV"/>
              </w:rPr>
              <w:t>.sk</w:t>
            </w:r>
            <w:r w:rsidR="00F36792" w:rsidRPr="00742672">
              <w:rPr>
                <w:rFonts w:ascii="Times New Roman" w:hAnsi="Times New Roman"/>
                <w:sz w:val="24"/>
                <w:szCs w:val="24"/>
                <w:lang w:eastAsia="lv-LV"/>
              </w:rPr>
              <w:t xml:space="preserve">. </w:t>
            </w:r>
          </w:p>
          <w:p w14:paraId="777A4C68" w14:textId="77777777" w:rsidR="00F36792" w:rsidRPr="00742672" w:rsidRDefault="00F36792" w:rsidP="00602E7A">
            <w:pPr>
              <w:ind w:left="567"/>
              <w:jc w:val="both"/>
              <w:rPr>
                <w:rFonts w:ascii="Times New Roman" w:hAnsi="Times New Roman"/>
                <w:sz w:val="24"/>
                <w:szCs w:val="24"/>
                <w:lang w:eastAsia="lv-LV"/>
              </w:rPr>
            </w:pPr>
          </w:p>
          <w:p w14:paraId="29D22CF7" w14:textId="0E8BB3DD" w:rsidR="00F36792" w:rsidRPr="00E86145" w:rsidRDefault="00F36792" w:rsidP="00602E7A">
            <w:pPr>
              <w:ind w:left="567"/>
              <w:jc w:val="both"/>
              <w:rPr>
                <w:rFonts w:ascii="Times New Roman" w:hAnsi="Times New Roman"/>
                <w:sz w:val="24"/>
                <w:szCs w:val="24"/>
                <w:lang w:eastAsia="lv-LV"/>
              </w:rPr>
            </w:pPr>
            <w:r>
              <w:rPr>
                <w:rFonts w:ascii="Times New Roman" w:hAnsi="Times New Roman"/>
                <w:sz w:val="24"/>
                <w:szCs w:val="24"/>
                <w:lang w:eastAsia="lv-LV"/>
              </w:rPr>
              <w:lastRenderedPageBreak/>
              <w:t xml:space="preserve">filiālei “Kalupe” par </w:t>
            </w:r>
            <w:r w:rsidR="00E52605">
              <w:rPr>
                <w:rFonts w:ascii="Times New Roman" w:hAnsi="Times New Roman"/>
                <w:sz w:val="24"/>
                <w:szCs w:val="24"/>
                <w:lang w:eastAsia="lv-LV"/>
              </w:rPr>
              <w:t>5142,50</w:t>
            </w:r>
            <w:r>
              <w:rPr>
                <w:rFonts w:ascii="Times New Roman" w:hAnsi="Times New Roman"/>
                <w:sz w:val="24"/>
                <w:szCs w:val="24"/>
                <w:lang w:eastAsia="lv-LV"/>
              </w:rPr>
              <w:t xml:space="preserve"> </w:t>
            </w:r>
            <w:r w:rsidRPr="00E86145">
              <w:rPr>
                <w:rFonts w:ascii="Times New Roman" w:hAnsi="Times New Roman"/>
                <w:i/>
                <w:sz w:val="24"/>
                <w:szCs w:val="24"/>
                <w:lang w:eastAsia="lv-LV"/>
              </w:rPr>
              <w:t>euro</w:t>
            </w:r>
            <w:r w:rsidR="00E52605">
              <w:rPr>
                <w:rFonts w:ascii="Times New Roman" w:hAnsi="Times New Roman"/>
                <w:i/>
                <w:sz w:val="24"/>
                <w:szCs w:val="24"/>
                <w:lang w:eastAsia="lv-LV"/>
              </w:rPr>
              <w:t xml:space="preserve"> </w:t>
            </w:r>
            <w:r w:rsidR="00E52605" w:rsidRPr="00E52605">
              <w:rPr>
                <w:rFonts w:ascii="Times New Roman" w:hAnsi="Times New Roman"/>
                <w:sz w:val="24"/>
                <w:szCs w:val="24"/>
                <w:lang w:eastAsia="lv-LV"/>
              </w:rPr>
              <w:t>automatiskā virsmu</w:t>
            </w:r>
            <w:r w:rsidR="00E52605">
              <w:rPr>
                <w:rFonts w:ascii="Times New Roman" w:hAnsi="Times New Roman"/>
                <w:i/>
                <w:sz w:val="24"/>
                <w:szCs w:val="24"/>
                <w:lang w:eastAsia="lv-LV"/>
              </w:rPr>
              <w:t xml:space="preserve"> </w:t>
            </w:r>
            <w:r w:rsidR="00E52605" w:rsidRPr="00E52605">
              <w:rPr>
                <w:rFonts w:ascii="Times New Roman" w:hAnsi="Times New Roman"/>
                <w:sz w:val="24"/>
                <w:szCs w:val="24"/>
                <w:lang w:eastAsia="lv-LV"/>
              </w:rPr>
              <w:t>dezinfekcijas iekārta</w:t>
            </w:r>
            <w:r>
              <w:rPr>
                <w:rFonts w:ascii="Times New Roman" w:hAnsi="Times New Roman"/>
                <w:sz w:val="24"/>
                <w:szCs w:val="24"/>
                <w:lang w:eastAsia="lv-LV"/>
              </w:rPr>
              <w:t>;</w:t>
            </w:r>
          </w:p>
          <w:p w14:paraId="7F13CAE1" w14:textId="48E64C41" w:rsidR="00F36792" w:rsidRDefault="00F36792" w:rsidP="00E52605">
            <w:pPr>
              <w:ind w:left="567"/>
              <w:jc w:val="both"/>
              <w:rPr>
                <w:rFonts w:ascii="Times New Roman" w:hAnsi="Times New Roman"/>
                <w:sz w:val="24"/>
                <w:szCs w:val="24"/>
                <w:lang w:eastAsia="lv-LV"/>
              </w:rPr>
            </w:pPr>
            <w:r>
              <w:rPr>
                <w:rFonts w:ascii="Times New Roman" w:hAnsi="Times New Roman"/>
                <w:sz w:val="24"/>
                <w:szCs w:val="24"/>
                <w:lang w:eastAsia="lv-LV"/>
              </w:rPr>
              <w:t xml:space="preserve">filiālei “Litene” par </w:t>
            </w:r>
            <w:r w:rsidR="00E52605">
              <w:rPr>
                <w:rFonts w:ascii="Times New Roman" w:hAnsi="Times New Roman"/>
                <w:sz w:val="24"/>
                <w:szCs w:val="24"/>
                <w:lang w:eastAsia="lv-LV"/>
              </w:rPr>
              <w:t>5142,50</w:t>
            </w:r>
            <w:r>
              <w:rPr>
                <w:rFonts w:ascii="Times New Roman" w:hAnsi="Times New Roman"/>
                <w:sz w:val="24"/>
                <w:szCs w:val="24"/>
                <w:lang w:eastAsia="lv-LV"/>
              </w:rPr>
              <w:t xml:space="preserve"> </w:t>
            </w:r>
            <w:r>
              <w:rPr>
                <w:rFonts w:ascii="Times New Roman" w:hAnsi="Times New Roman"/>
                <w:i/>
                <w:sz w:val="24"/>
                <w:szCs w:val="24"/>
                <w:lang w:eastAsia="lv-LV"/>
              </w:rPr>
              <w:t xml:space="preserve">euro  </w:t>
            </w:r>
            <w:r w:rsidR="00E52605" w:rsidRPr="00E52605">
              <w:rPr>
                <w:rFonts w:ascii="Times New Roman" w:hAnsi="Times New Roman"/>
                <w:sz w:val="24"/>
                <w:szCs w:val="24"/>
                <w:lang w:eastAsia="lv-LV"/>
              </w:rPr>
              <w:t>automatiskā virsmu</w:t>
            </w:r>
            <w:r w:rsidR="00E52605">
              <w:rPr>
                <w:rFonts w:ascii="Times New Roman" w:hAnsi="Times New Roman"/>
                <w:i/>
                <w:sz w:val="24"/>
                <w:szCs w:val="24"/>
                <w:lang w:eastAsia="lv-LV"/>
              </w:rPr>
              <w:t xml:space="preserve"> </w:t>
            </w:r>
            <w:r w:rsidR="00E52605" w:rsidRPr="00E52605">
              <w:rPr>
                <w:rFonts w:ascii="Times New Roman" w:hAnsi="Times New Roman"/>
                <w:sz w:val="24"/>
                <w:szCs w:val="24"/>
                <w:lang w:eastAsia="lv-LV"/>
              </w:rPr>
              <w:t>dezinfekcijas iekārta</w:t>
            </w:r>
            <w:r>
              <w:rPr>
                <w:rFonts w:ascii="Times New Roman" w:hAnsi="Times New Roman"/>
                <w:sz w:val="24"/>
                <w:szCs w:val="24"/>
                <w:lang w:eastAsia="lv-LV"/>
              </w:rPr>
              <w:t>;</w:t>
            </w:r>
          </w:p>
          <w:p w14:paraId="355B210F" w14:textId="4150AE39" w:rsidR="00F36792" w:rsidRDefault="00F36792" w:rsidP="00E52605">
            <w:pPr>
              <w:ind w:left="567"/>
              <w:jc w:val="both"/>
              <w:rPr>
                <w:rFonts w:ascii="Times New Roman" w:hAnsi="Times New Roman"/>
                <w:sz w:val="24"/>
                <w:szCs w:val="24"/>
                <w:lang w:eastAsia="lv-LV"/>
              </w:rPr>
            </w:pPr>
            <w:r>
              <w:rPr>
                <w:rFonts w:ascii="Times New Roman" w:hAnsi="Times New Roman"/>
                <w:sz w:val="24"/>
                <w:szCs w:val="24"/>
                <w:lang w:eastAsia="lv-LV"/>
              </w:rPr>
              <w:t xml:space="preserve">filiālei “Mēmele” par </w:t>
            </w:r>
            <w:r w:rsidR="00E52605">
              <w:rPr>
                <w:rFonts w:ascii="Times New Roman" w:hAnsi="Times New Roman"/>
                <w:sz w:val="24"/>
                <w:szCs w:val="24"/>
                <w:lang w:eastAsia="lv-LV"/>
              </w:rPr>
              <w:t xml:space="preserve">5142,50 </w:t>
            </w:r>
            <w:r w:rsidR="00E52605" w:rsidRPr="00E52605">
              <w:rPr>
                <w:rFonts w:ascii="Times New Roman" w:hAnsi="Times New Roman"/>
                <w:i/>
                <w:sz w:val="24"/>
                <w:szCs w:val="24"/>
                <w:lang w:eastAsia="lv-LV"/>
              </w:rPr>
              <w:t>euro</w:t>
            </w:r>
            <w:r>
              <w:rPr>
                <w:rFonts w:ascii="Times New Roman" w:hAnsi="Times New Roman"/>
                <w:sz w:val="24"/>
                <w:szCs w:val="24"/>
                <w:lang w:eastAsia="lv-LV"/>
              </w:rPr>
              <w:t xml:space="preserve"> </w:t>
            </w:r>
            <w:r w:rsidR="00E52605" w:rsidRPr="00E52605">
              <w:rPr>
                <w:rFonts w:ascii="Times New Roman" w:hAnsi="Times New Roman"/>
                <w:sz w:val="24"/>
                <w:szCs w:val="24"/>
                <w:lang w:eastAsia="lv-LV"/>
              </w:rPr>
              <w:t>automatiskā virsmu</w:t>
            </w:r>
            <w:r w:rsidR="00E52605">
              <w:rPr>
                <w:rFonts w:ascii="Times New Roman" w:hAnsi="Times New Roman"/>
                <w:i/>
                <w:sz w:val="24"/>
                <w:szCs w:val="24"/>
                <w:lang w:eastAsia="lv-LV"/>
              </w:rPr>
              <w:t xml:space="preserve"> </w:t>
            </w:r>
            <w:r w:rsidR="00E52605" w:rsidRPr="00E52605">
              <w:rPr>
                <w:rFonts w:ascii="Times New Roman" w:hAnsi="Times New Roman"/>
                <w:sz w:val="24"/>
                <w:szCs w:val="24"/>
                <w:lang w:eastAsia="lv-LV"/>
              </w:rPr>
              <w:t>dezinfekcijas iekārta</w:t>
            </w:r>
            <w:r w:rsidR="00E52605">
              <w:rPr>
                <w:rFonts w:ascii="Times New Roman" w:hAnsi="Times New Roman"/>
                <w:sz w:val="24"/>
                <w:szCs w:val="24"/>
                <w:lang w:eastAsia="lv-LV"/>
              </w:rPr>
              <w:t>.</w:t>
            </w:r>
          </w:p>
          <w:p w14:paraId="50BA9C5A" w14:textId="77777777" w:rsidR="00F36792" w:rsidRPr="00782B6A" w:rsidRDefault="00F36792" w:rsidP="00602E7A">
            <w:pPr>
              <w:ind w:left="567"/>
              <w:jc w:val="both"/>
              <w:rPr>
                <w:rFonts w:ascii="Times New Roman" w:hAnsi="Times New Roman" w:cs="Times New Roman"/>
                <w:sz w:val="24"/>
                <w:szCs w:val="24"/>
                <w:lang w:eastAsia="lv-LV"/>
              </w:rPr>
            </w:pPr>
          </w:p>
          <w:p w14:paraId="220CFFFD" w14:textId="77777777" w:rsidR="00F36792" w:rsidRPr="00892D41" w:rsidRDefault="00F36792" w:rsidP="00602E7A">
            <w:pPr>
              <w:ind w:left="567"/>
              <w:jc w:val="both"/>
              <w:rPr>
                <w:rFonts w:ascii="Times New Roman" w:hAnsi="Times New Roman"/>
                <w:sz w:val="24"/>
                <w:szCs w:val="24"/>
                <w:lang w:eastAsia="lv-LV"/>
              </w:rPr>
            </w:pPr>
          </w:p>
          <w:p w14:paraId="67C557D6" w14:textId="77777777" w:rsidR="00F36792" w:rsidRDefault="00F36792" w:rsidP="00602E7A">
            <w:pPr>
              <w:ind w:left="567"/>
              <w:jc w:val="both"/>
              <w:rPr>
                <w:rFonts w:ascii="Times New Roman" w:hAnsi="Times New Roman"/>
                <w:sz w:val="24"/>
                <w:szCs w:val="24"/>
                <w:lang w:eastAsia="lv-LV"/>
              </w:rPr>
            </w:pPr>
          </w:p>
          <w:p w14:paraId="18C79F29" w14:textId="77777777" w:rsidR="00F36792" w:rsidRPr="00930D00" w:rsidRDefault="00F36792" w:rsidP="00602E7A">
            <w:pPr>
              <w:ind w:left="567"/>
              <w:jc w:val="both"/>
              <w:rPr>
                <w:rFonts w:ascii="Times New Roman" w:hAnsi="Times New Roman"/>
                <w:sz w:val="24"/>
                <w:szCs w:val="24"/>
                <w:lang w:eastAsia="lv-LV"/>
              </w:rPr>
            </w:pPr>
          </w:p>
        </w:tc>
      </w:tr>
      <w:tr w:rsidR="00F36792" w:rsidRPr="00CC77D5" w14:paraId="35931260" w14:textId="77777777" w:rsidTr="00F36792">
        <w:trPr>
          <w:gridAfter w:val="1"/>
          <w:wAfter w:w="13" w:type="dxa"/>
        </w:trPr>
        <w:tc>
          <w:tcPr>
            <w:tcW w:w="6947" w:type="dxa"/>
          </w:tcPr>
          <w:p w14:paraId="353BE500" w14:textId="77777777" w:rsidR="00F36792" w:rsidRPr="00CC77D5" w:rsidRDefault="00F36792" w:rsidP="00602E7A">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55CD0704" w14:textId="77777777" w:rsidR="00F36792" w:rsidRPr="00CC77D5" w:rsidRDefault="00F36792" w:rsidP="00602E7A">
            <w:pPr>
              <w:pStyle w:val="ListParagraph"/>
              <w:tabs>
                <w:tab w:val="left" w:pos="993"/>
              </w:tabs>
              <w:ind w:left="0"/>
              <w:rPr>
                <w:rFonts w:ascii="Times New Roman" w:hAnsi="Times New Roman" w:cs="Times New Roman"/>
                <w:i/>
              </w:rPr>
            </w:pPr>
          </w:p>
        </w:tc>
      </w:tr>
      <w:tr w:rsidR="00F36792" w:rsidRPr="00CC77D5" w14:paraId="007416B6" w14:textId="77777777" w:rsidTr="00F36792">
        <w:trPr>
          <w:gridAfter w:val="1"/>
          <w:wAfter w:w="13" w:type="dxa"/>
        </w:trPr>
        <w:tc>
          <w:tcPr>
            <w:tcW w:w="6947" w:type="dxa"/>
          </w:tcPr>
          <w:p w14:paraId="6634B242" w14:textId="35E9174E" w:rsidR="00F36792" w:rsidRPr="00E8273F" w:rsidRDefault="00F36792" w:rsidP="00E41281">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46" w:type="dxa"/>
          </w:tcPr>
          <w:p w14:paraId="0EA76F76" w14:textId="5A413EF8" w:rsidR="00F36792" w:rsidRPr="00E8273F" w:rsidRDefault="00F36792" w:rsidP="00602E7A">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20</w:t>
            </w:r>
            <w:r w:rsidRPr="00ED3A39">
              <w:rPr>
                <w:rFonts w:ascii="Times New Roman" w:hAnsi="Times New Roman"/>
                <w:sz w:val="24"/>
                <w:szCs w:val="24"/>
                <w:lang w:eastAsia="lv-LV"/>
              </w:rPr>
              <w:t xml:space="preserve">. gada </w:t>
            </w:r>
            <w:r>
              <w:rPr>
                <w:rFonts w:ascii="Times New Roman" w:hAnsi="Times New Roman"/>
                <w:sz w:val="24"/>
                <w:szCs w:val="24"/>
                <w:lang w:eastAsia="lv-LV"/>
              </w:rPr>
              <w:t>9</w:t>
            </w:r>
            <w:r w:rsidRPr="00ED3A39">
              <w:rPr>
                <w:rFonts w:ascii="Times New Roman" w:hAnsi="Times New Roman"/>
                <w:sz w:val="24"/>
                <w:szCs w:val="24"/>
                <w:lang w:eastAsia="lv-LV"/>
              </w:rPr>
              <w:t xml:space="preserve"> mēnešos ir </w:t>
            </w:r>
            <w:r w:rsidR="008608F7">
              <w:rPr>
                <w:rFonts w:ascii="Times New Roman" w:hAnsi="Times New Roman"/>
                <w:bCs/>
                <w:sz w:val="24"/>
                <w:szCs w:val="24"/>
                <w:lang w:eastAsia="lv-LV"/>
              </w:rPr>
              <w:t>43 112,30</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8608F7">
              <w:rPr>
                <w:rFonts w:ascii="Times New Roman" w:hAnsi="Times New Roman"/>
                <w:sz w:val="24"/>
                <w:szCs w:val="24"/>
                <w:lang w:eastAsia="lv-LV"/>
              </w:rPr>
              <w:t>42 112,30</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sidR="008608F7">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486BC168" w14:textId="77777777" w:rsidR="00F36792" w:rsidRPr="003B4F92" w:rsidRDefault="00F36792" w:rsidP="00602E7A">
            <w:pPr>
              <w:widowControl w:val="0"/>
              <w:jc w:val="both"/>
              <w:rPr>
                <w:rFonts w:ascii="Times New Roman" w:hAnsi="Times New Roman"/>
                <w:sz w:val="24"/>
                <w:szCs w:val="24"/>
                <w:lang w:eastAsia="lv-LV"/>
              </w:rPr>
            </w:pPr>
          </w:p>
          <w:p w14:paraId="68E78DD1" w14:textId="77777777" w:rsidR="00F36792" w:rsidRPr="00787F0F" w:rsidRDefault="00F36792" w:rsidP="00602E7A">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107AF6F8" w14:textId="27DA6029" w:rsidR="00F36792" w:rsidRPr="00ED3A39" w:rsidRDefault="00F36792" w:rsidP="00602E7A">
            <w:pPr>
              <w:pStyle w:val="ListParagraph"/>
              <w:numPr>
                <w:ilvl w:val="0"/>
                <w:numId w:val="34"/>
              </w:numPr>
              <w:jc w:val="both"/>
              <w:rPr>
                <w:rFonts w:ascii="Times New Roman" w:hAnsi="Times New Roman"/>
                <w:sz w:val="24"/>
                <w:szCs w:val="24"/>
                <w:lang w:eastAsia="lv-LV"/>
              </w:rPr>
            </w:pPr>
            <w:r>
              <w:rPr>
                <w:rFonts w:ascii="Times New Roman" w:hAnsi="Times New Roman"/>
                <w:sz w:val="24"/>
                <w:szCs w:val="24"/>
                <w:lang w:eastAsia="lv-LV"/>
              </w:rPr>
              <w:t>p</w:t>
            </w:r>
            <w:r w:rsidRPr="00ED3A39">
              <w:rPr>
                <w:rFonts w:ascii="Times New Roman" w:hAnsi="Times New Roman"/>
                <w:sz w:val="24"/>
                <w:szCs w:val="24"/>
                <w:lang w:eastAsia="lv-LV"/>
              </w:rPr>
              <w:t xml:space="preserve">reces  un pakalpojumi </w:t>
            </w:r>
            <w:r>
              <w:rPr>
                <w:rFonts w:ascii="Times New Roman" w:hAnsi="Times New Roman"/>
                <w:sz w:val="24"/>
                <w:szCs w:val="24"/>
                <w:lang w:eastAsia="lv-LV"/>
              </w:rPr>
              <w:t>palieli</w:t>
            </w:r>
            <w:r w:rsidRPr="00ED3A39">
              <w:rPr>
                <w:rFonts w:ascii="Times New Roman" w:hAnsi="Times New Roman"/>
                <w:sz w:val="24"/>
                <w:szCs w:val="24"/>
                <w:lang w:eastAsia="lv-LV"/>
              </w:rPr>
              <w:t>nāju</w:t>
            </w:r>
            <w:r w:rsidRPr="00C7316A">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8608F7">
              <w:rPr>
                <w:rFonts w:ascii="Times New Roman" w:hAnsi="Times New Roman"/>
                <w:sz w:val="24"/>
                <w:szCs w:val="24"/>
                <w:lang w:eastAsia="lv-LV"/>
              </w:rPr>
              <w:t>27 685,40</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sidR="008608F7">
              <w:rPr>
                <w:rFonts w:ascii="Times New Roman" w:hAnsi="Times New Roman"/>
                <w:sz w:val="24"/>
                <w:szCs w:val="24"/>
                <w:lang w:eastAsia="lv-LV"/>
              </w:rPr>
              <w:t>100</w:t>
            </w:r>
            <w:r>
              <w:rPr>
                <w:rFonts w:ascii="Times New Roman" w:hAnsi="Times New Roman"/>
                <w:sz w:val="24"/>
                <w:szCs w:val="24"/>
                <w:lang w:eastAsia="lv-LV"/>
              </w:rPr>
              <w:t xml:space="preserve"> </w:t>
            </w:r>
            <w:r w:rsidRPr="00ED3A39">
              <w:rPr>
                <w:rFonts w:ascii="Times New Roman" w:hAnsi="Times New Roman"/>
                <w:sz w:val="24"/>
                <w:szCs w:val="24"/>
                <w:lang w:eastAsia="lv-LV"/>
              </w:rPr>
              <w:t>%</w:t>
            </w:r>
            <w:r>
              <w:rPr>
                <w:rFonts w:ascii="Times New Roman" w:hAnsi="Times New Roman"/>
                <w:i/>
                <w:sz w:val="24"/>
                <w:szCs w:val="24"/>
                <w:lang w:eastAsia="lv-LV"/>
              </w:rPr>
              <w:t xml:space="preserve"> </w:t>
            </w:r>
            <w:r w:rsidRPr="00ED3A39">
              <w:rPr>
                <w:rFonts w:ascii="Times New Roman" w:hAnsi="Times New Roman"/>
                <w:sz w:val="24"/>
                <w:szCs w:val="24"/>
                <w:lang w:eastAsia="lv-LV"/>
              </w:rPr>
              <w:t>, sakarā ar</w:t>
            </w:r>
            <w:r w:rsidR="006B1814">
              <w:rPr>
                <w:rFonts w:ascii="Times New Roman" w:hAnsi="Times New Roman"/>
                <w:sz w:val="24"/>
                <w:szCs w:val="24"/>
                <w:lang w:eastAsia="lv-LV"/>
              </w:rPr>
              <w:t xml:space="preserve"> ar īstenotajiem COVID-19 pretepidēmijas pasākumiem filiālēs ”Mēmele”, “Litene”, ”Krastiņi”, ”Kalupe”,  “Kalkūni” </w:t>
            </w:r>
            <w:r w:rsidRPr="00ED3A39">
              <w:rPr>
                <w:rFonts w:ascii="Times New Roman" w:hAnsi="Times New Roman"/>
                <w:sz w:val="24"/>
                <w:szCs w:val="24"/>
                <w:lang w:eastAsia="lv-LV"/>
              </w:rPr>
              <w:t xml:space="preserve">  </w:t>
            </w:r>
            <w:r>
              <w:rPr>
                <w:rFonts w:ascii="Times New Roman" w:hAnsi="Times New Roman"/>
                <w:sz w:val="24"/>
                <w:szCs w:val="24"/>
                <w:lang w:eastAsia="lv-LV"/>
              </w:rPr>
              <w:t>;</w:t>
            </w:r>
          </w:p>
          <w:p w14:paraId="586135F3" w14:textId="7E85157D" w:rsidR="00F36792" w:rsidRPr="00ED3A39" w:rsidRDefault="00F36792" w:rsidP="00602E7A">
            <w:pPr>
              <w:pStyle w:val="ListParagraph"/>
              <w:widowControl w:val="0"/>
              <w:numPr>
                <w:ilvl w:val="0"/>
                <w:numId w:val="34"/>
              </w:numPr>
              <w:jc w:val="both"/>
              <w:rPr>
                <w:rFonts w:ascii="Times New Roman" w:hAnsi="Times New Roman"/>
                <w:bCs/>
                <w:sz w:val="24"/>
                <w:szCs w:val="24"/>
              </w:rPr>
            </w:pPr>
            <w:r w:rsidRPr="00ED3A39">
              <w:rPr>
                <w:rFonts w:ascii="Times New Roman" w:hAnsi="Times New Roman"/>
                <w:sz w:val="24"/>
                <w:szCs w:val="24"/>
                <w:lang w:eastAsia="lv-LV"/>
              </w:rPr>
              <w:t xml:space="preserve">kapitālie izdevumi </w:t>
            </w:r>
            <w:r w:rsidR="0036176F">
              <w:rPr>
                <w:rFonts w:ascii="Times New Roman" w:hAnsi="Times New Roman"/>
                <w:sz w:val="24"/>
                <w:szCs w:val="24"/>
                <w:lang w:eastAsia="lv-LV"/>
              </w:rPr>
              <w:t>paliel</w:t>
            </w:r>
            <w:r>
              <w:rPr>
                <w:rFonts w:ascii="Times New Roman" w:hAnsi="Times New Roman"/>
                <w:sz w:val="24"/>
                <w:szCs w:val="24"/>
                <w:lang w:eastAsia="lv-LV"/>
              </w:rPr>
              <w:t>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8608F7">
              <w:rPr>
                <w:rFonts w:ascii="Times New Roman" w:hAnsi="Times New Roman"/>
                <w:sz w:val="24"/>
                <w:szCs w:val="24"/>
                <w:lang w:eastAsia="lv-LV"/>
              </w:rPr>
              <w:t>15 426,90</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sidR="008608F7">
              <w:rPr>
                <w:rFonts w:ascii="Times New Roman" w:hAnsi="Times New Roman"/>
                <w:sz w:val="24"/>
                <w:szCs w:val="24"/>
                <w:lang w:eastAsia="lv-LV"/>
              </w:rPr>
              <w:t>100</w:t>
            </w:r>
            <w:r>
              <w:rPr>
                <w:rFonts w:ascii="Times New Roman" w:hAnsi="Times New Roman"/>
                <w:sz w:val="24"/>
                <w:szCs w:val="24"/>
                <w:lang w:eastAsia="lv-LV"/>
              </w:rPr>
              <w:t xml:space="preserve"> </w:t>
            </w:r>
            <w:r w:rsidRPr="00ED3A39">
              <w:rPr>
                <w:rFonts w:ascii="Times New Roman" w:hAnsi="Times New Roman"/>
                <w:sz w:val="24"/>
                <w:szCs w:val="24"/>
                <w:lang w:eastAsia="lv-LV"/>
              </w:rPr>
              <w:t xml:space="preserve">%, saistībā </w:t>
            </w:r>
            <w:r w:rsidR="006B1814">
              <w:rPr>
                <w:rFonts w:ascii="Times New Roman" w:hAnsi="Times New Roman"/>
                <w:sz w:val="24"/>
                <w:szCs w:val="24"/>
                <w:lang w:eastAsia="lv-LV"/>
              </w:rPr>
              <w:t>ar īstenotajiem COVID-19 pretepidēmijas pasākumus Filiālēs ”Mēmele”, “Litene”, ”Krastiņi”, ”Kalupe”,  “Kalkūni”</w:t>
            </w:r>
            <w:r>
              <w:rPr>
                <w:rFonts w:ascii="Times New Roman" w:hAnsi="Times New Roman"/>
                <w:sz w:val="24"/>
                <w:szCs w:val="24"/>
                <w:lang w:eastAsia="lv-LV"/>
              </w:rPr>
              <w:t>.</w:t>
            </w:r>
          </w:p>
          <w:p w14:paraId="245F8B6A" w14:textId="77777777" w:rsidR="00F36792" w:rsidRPr="001C35E3" w:rsidRDefault="00F36792" w:rsidP="00602E7A">
            <w:pPr>
              <w:pStyle w:val="ListParagraph"/>
              <w:widowControl w:val="0"/>
              <w:jc w:val="both"/>
              <w:rPr>
                <w:rFonts w:ascii="Times New Roman" w:hAnsi="Times New Roman" w:cs="Times New Roman"/>
              </w:rPr>
            </w:pPr>
          </w:p>
        </w:tc>
      </w:tr>
      <w:tr w:rsidR="00F36792" w:rsidRPr="00CC77D5" w14:paraId="00F647EB" w14:textId="77777777" w:rsidTr="00F36792">
        <w:trPr>
          <w:gridAfter w:val="1"/>
          <w:wAfter w:w="13" w:type="dxa"/>
        </w:trPr>
        <w:tc>
          <w:tcPr>
            <w:tcW w:w="6947" w:type="dxa"/>
          </w:tcPr>
          <w:p w14:paraId="0097F640" w14:textId="77777777" w:rsidR="00F36792" w:rsidRPr="00ED3A39" w:rsidRDefault="00F36792" w:rsidP="00602E7A">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60CE9638" w14:textId="4A2FED44" w:rsidR="00F36792" w:rsidRPr="00CC77D5" w:rsidRDefault="00F36792" w:rsidP="00602E7A">
            <w:pPr>
              <w:pStyle w:val="ListParagraph"/>
              <w:tabs>
                <w:tab w:val="left" w:pos="993"/>
              </w:tabs>
              <w:spacing w:before="240"/>
              <w:ind w:left="287"/>
              <w:rPr>
                <w:rFonts w:ascii="Times New Roman" w:hAnsi="Times New Roman" w:cs="Times New Roman"/>
              </w:rPr>
            </w:pPr>
          </w:p>
        </w:tc>
        <w:tc>
          <w:tcPr>
            <w:tcW w:w="7046" w:type="dxa"/>
          </w:tcPr>
          <w:p w14:paraId="0B37531B" w14:textId="734F81DC" w:rsidR="00F36792" w:rsidRDefault="00F56173" w:rsidP="00602E7A">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647BEB14" w14:textId="27E8AA97" w:rsidR="00F36792" w:rsidRPr="00C7316A" w:rsidRDefault="00F36792" w:rsidP="00602E7A">
            <w:pPr>
              <w:tabs>
                <w:tab w:val="left" w:pos="993"/>
              </w:tabs>
              <w:ind w:left="3"/>
              <w:jc w:val="both"/>
              <w:rPr>
                <w:rFonts w:ascii="Times New Roman" w:hAnsi="Times New Roman" w:cs="Times New Roman"/>
              </w:rPr>
            </w:pPr>
          </w:p>
        </w:tc>
      </w:tr>
      <w:tr w:rsidR="00F36792" w:rsidRPr="00CC77D5" w14:paraId="70F89268" w14:textId="77777777" w:rsidTr="00F36792">
        <w:trPr>
          <w:gridAfter w:val="1"/>
          <w:wAfter w:w="13" w:type="dxa"/>
        </w:trPr>
        <w:tc>
          <w:tcPr>
            <w:tcW w:w="6947" w:type="dxa"/>
          </w:tcPr>
          <w:p w14:paraId="0331BA32" w14:textId="77777777" w:rsidR="00F36792" w:rsidRPr="00CC77D5" w:rsidDel="004F1B57" w:rsidRDefault="00F36792" w:rsidP="00602E7A">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25C0D002" w14:textId="77777777" w:rsidR="00F36792" w:rsidRPr="00CC77D5" w:rsidDel="004F1B57" w:rsidRDefault="00F36792" w:rsidP="00602E7A">
            <w:pPr>
              <w:widowControl w:val="0"/>
              <w:ind w:left="851"/>
              <w:rPr>
                <w:rFonts w:ascii="Times New Roman" w:hAnsi="Times New Roman" w:cs="Times New Roman"/>
                <w:i/>
              </w:rPr>
            </w:pPr>
          </w:p>
        </w:tc>
      </w:tr>
      <w:tr w:rsidR="00F36792" w:rsidRPr="00CC77D5" w14:paraId="04231372" w14:textId="77777777" w:rsidTr="00F36792">
        <w:trPr>
          <w:gridAfter w:val="1"/>
          <w:wAfter w:w="13" w:type="dxa"/>
        </w:trPr>
        <w:tc>
          <w:tcPr>
            <w:tcW w:w="6947" w:type="dxa"/>
          </w:tcPr>
          <w:p w14:paraId="0B15A1BF" w14:textId="77777777" w:rsidR="00F36792" w:rsidRPr="00CC77D5" w:rsidRDefault="00F36792" w:rsidP="00F36792">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46" w:type="dxa"/>
          </w:tcPr>
          <w:p w14:paraId="57EAE54A" w14:textId="2BAE330E" w:rsidR="00F36792" w:rsidRDefault="00F36792" w:rsidP="00602E7A">
            <w:pPr>
              <w:tabs>
                <w:tab w:val="left" w:pos="993"/>
              </w:tabs>
              <w:rPr>
                <w:rFonts w:ascii="Times New Roman" w:hAnsi="Times New Roman" w:cs="Times New Roman"/>
                <w:i/>
                <w:color w:val="000000"/>
                <w14:textFill>
                  <w14:solidFill>
                    <w14:srgbClr w14:val="000000">
                      <w14:tint w14:val="66000"/>
                      <w14:satMod w14:val="160000"/>
                    </w14:srgbClr>
                  </w14:solidFill>
                </w14:textFill>
              </w:rPr>
            </w:pPr>
          </w:p>
          <w:p w14:paraId="0E44E573" w14:textId="4062C33C" w:rsidR="00F36792" w:rsidRPr="00843DBC" w:rsidRDefault="00F36792" w:rsidP="00843DBC">
            <w:pPr>
              <w:tabs>
                <w:tab w:val="left" w:pos="993"/>
              </w:tabs>
              <w:rPr>
                <w:rFonts w:ascii="Times New Roman" w:hAnsi="Times New Roman" w:cs="Times New Roman"/>
              </w:rPr>
            </w:pPr>
          </w:p>
        </w:tc>
      </w:tr>
      <w:tr w:rsidR="00F36792" w:rsidRPr="00CC77D5" w14:paraId="0E6FDC2F" w14:textId="77777777" w:rsidTr="00F36792">
        <w:trPr>
          <w:gridAfter w:val="1"/>
          <w:wAfter w:w="13" w:type="dxa"/>
        </w:trPr>
        <w:tc>
          <w:tcPr>
            <w:tcW w:w="6947" w:type="dxa"/>
          </w:tcPr>
          <w:p w14:paraId="50ADA566" w14:textId="77777777" w:rsidR="00F36792" w:rsidRPr="00CC77D5" w:rsidRDefault="00F36792" w:rsidP="00F36792">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lastRenderedPageBreak/>
              <w:t xml:space="preserve">Kādas ir plānotās darbības neapgūto asignējumu </w:t>
            </w:r>
            <w:r>
              <w:rPr>
                <w:rFonts w:ascii="Times New Roman" w:hAnsi="Times New Roman" w:cs="Times New Roman"/>
              </w:rPr>
              <w:t>finansējuma izlietojumam</w:t>
            </w:r>
          </w:p>
          <w:p w14:paraId="30AF219B" w14:textId="6660AFC2" w:rsidR="00F36792" w:rsidRPr="00CC77D5" w:rsidRDefault="00F36792" w:rsidP="00602E7A">
            <w:pPr>
              <w:pStyle w:val="ListParagraph"/>
              <w:ind w:left="286"/>
              <w:rPr>
                <w:rFonts w:ascii="Times New Roman" w:hAnsi="Times New Roman" w:cs="Times New Roman"/>
              </w:rPr>
            </w:pPr>
          </w:p>
        </w:tc>
        <w:tc>
          <w:tcPr>
            <w:tcW w:w="7046" w:type="dxa"/>
          </w:tcPr>
          <w:p w14:paraId="762BEEAA" w14:textId="77777777" w:rsidR="00F36792" w:rsidRPr="009B6895" w:rsidRDefault="00F36792" w:rsidP="00E41281">
            <w:pPr>
              <w:tabs>
                <w:tab w:val="left" w:pos="993"/>
              </w:tabs>
              <w:jc w:val="both"/>
              <w:rPr>
                <w:rFonts w:ascii="Times New Roman" w:hAnsi="Times New Roman" w:cs="Times New Roman"/>
                <w:b/>
              </w:rPr>
            </w:pPr>
          </w:p>
        </w:tc>
      </w:tr>
      <w:tr w:rsidR="00F36792" w:rsidRPr="00CC77D5" w14:paraId="38254F78" w14:textId="77777777" w:rsidTr="00F36792">
        <w:trPr>
          <w:gridAfter w:val="1"/>
          <w:wAfter w:w="13" w:type="dxa"/>
        </w:trPr>
        <w:tc>
          <w:tcPr>
            <w:tcW w:w="6947" w:type="dxa"/>
          </w:tcPr>
          <w:p w14:paraId="745EA441" w14:textId="77777777" w:rsidR="00F36792" w:rsidRPr="00CC77D5" w:rsidRDefault="00F36792" w:rsidP="00F36792">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6DD03FC1" w14:textId="2DB3D0DE" w:rsidR="00F36792" w:rsidRPr="00CC77D5" w:rsidRDefault="00F36792" w:rsidP="00602E7A">
            <w:pPr>
              <w:pStyle w:val="ListParagraph"/>
              <w:ind w:left="286"/>
              <w:rPr>
                <w:rFonts w:ascii="Times New Roman" w:hAnsi="Times New Roman" w:cs="Times New Roman"/>
              </w:rPr>
            </w:pPr>
          </w:p>
        </w:tc>
        <w:tc>
          <w:tcPr>
            <w:tcW w:w="7046" w:type="dxa"/>
          </w:tcPr>
          <w:p w14:paraId="2A772724" w14:textId="77777777" w:rsidR="00F36792" w:rsidRPr="00CC77D5" w:rsidRDefault="00F36792" w:rsidP="00E41281">
            <w:pPr>
              <w:tabs>
                <w:tab w:val="left" w:pos="993"/>
              </w:tabs>
              <w:ind w:left="3"/>
              <w:jc w:val="both"/>
              <w:rPr>
                <w:rFonts w:ascii="Times New Roman" w:hAnsi="Times New Roman" w:cs="Times New Roman"/>
                <w:b/>
                <w:i/>
              </w:rPr>
            </w:pPr>
          </w:p>
        </w:tc>
      </w:tr>
      <w:tr w:rsidR="00F36792" w:rsidRPr="00CC77D5" w14:paraId="257F55BE" w14:textId="77777777" w:rsidTr="00F36792">
        <w:trPr>
          <w:gridAfter w:val="1"/>
          <w:wAfter w:w="13" w:type="dxa"/>
        </w:trPr>
        <w:tc>
          <w:tcPr>
            <w:tcW w:w="6947" w:type="dxa"/>
          </w:tcPr>
          <w:p w14:paraId="0A667BB3" w14:textId="77777777" w:rsidR="00F36792" w:rsidRPr="00CC77D5" w:rsidRDefault="00F36792" w:rsidP="00F36792">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18A431FC" w14:textId="2DD70A53" w:rsidR="00F36792" w:rsidRPr="00CC77D5" w:rsidRDefault="00F36792" w:rsidP="00602E7A">
            <w:pPr>
              <w:pStyle w:val="ListParagraph"/>
              <w:tabs>
                <w:tab w:val="left" w:pos="993"/>
              </w:tabs>
              <w:ind w:left="286"/>
              <w:rPr>
                <w:rFonts w:ascii="Times New Roman" w:hAnsi="Times New Roman" w:cs="Times New Roman"/>
              </w:rPr>
            </w:pPr>
          </w:p>
        </w:tc>
        <w:tc>
          <w:tcPr>
            <w:tcW w:w="7046" w:type="dxa"/>
          </w:tcPr>
          <w:p w14:paraId="1B945B4D" w14:textId="77777777" w:rsidR="00F36792" w:rsidRPr="00CC77D5" w:rsidRDefault="00F36792" w:rsidP="00E41281">
            <w:pPr>
              <w:tabs>
                <w:tab w:val="left" w:pos="993"/>
              </w:tabs>
              <w:ind w:left="3"/>
              <w:jc w:val="both"/>
              <w:rPr>
                <w:rFonts w:ascii="Times New Roman" w:hAnsi="Times New Roman" w:cs="Times New Roman"/>
                <w:u w:val="single"/>
              </w:rPr>
            </w:pPr>
          </w:p>
        </w:tc>
      </w:tr>
      <w:tr w:rsidR="00F36792" w:rsidRPr="00CC77D5" w14:paraId="3ACC4F57" w14:textId="77777777" w:rsidTr="00F36792">
        <w:trPr>
          <w:gridAfter w:val="1"/>
          <w:wAfter w:w="13" w:type="dxa"/>
        </w:trPr>
        <w:tc>
          <w:tcPr>
            <w:tcW w:w="6947" w:type="dxa"/>
          </w:tcPr>
          <w:p w14:paraId="2109196A" w14:textId="77777777" w:rsidR="00F36792" w:rsidRPr="00CC77D5" w:rsidRDefault="00F36792" w:rsidP="00F36792">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7520C49B" w14:textId="74BA658F" w:rsidR="00F36792" w:rsidRPr="00CC77D5" w:rsidRDefault="00F36792" w:rsidP="00602E7A">
            <w:pPr>
              <w:pStyle w:val="ListParagraph"/>
              <w:ind w:left="286"/>
              <w:rPr>
                <w:rFonts w:ascii="Times New Roman" w:hAnsi="Times New Roman" w:cs="Times New Roman"/>
              </w:rPr>
            </w:pPr>
          </w:p>
        </w:tc>
        <w:tc>
          <w:tcPr>
            <w:tcW w:w="7046" w:type="dxa"/>
          </w:tcPr>
          <w:p w14:paraId="05236AFE" w14:textId="54E96266" w:rsidR="00F36792" w:rsidRPr="00CC77D5" w:rsidRDefault="00F36792" w:rsidP="00602E7A">
            <w:pPr>
              <w:tabs>
                <w:tab w:val="left" w:pos="993"/>
              </w:tabs>
              <w:ind w:left="3"/>
              <w:jc w:val="both"/>
              <w:rPr>
                <w:rFonts w:ascii="Times New Roman" w:hAnsi="Times New Roman" w:cs="Times New Roman"/>
                <w:b/>
              </w:rPr>
            </w:pPr>
          </w:p>
        </w:tc>
      </w:tr>
      <w:tr w:rsidR="00F36792" w:rsidRPr="00CC77D5" w14:paraId="39952FAE" w14:textId="77777777" w:rsidTr="00F36792">
        <w:trPr>
          <w:gridAfter w:val="1"/>
          <w:wAfter w:w="13" w:type="dxa"/>
        </w:trPr>
        <w:tc>
          <w:tcPr>
            <w:tcW w:w="6947" w:type="dxa"/>
          </w:tcPr>
          <w:p w14:paraId="4B0C97DE" w14:textId="77777777" w:rsidR="00F36792" w:rsidRPr="00CC77D5" w:rsidRDefault="00F36792" w:rsidP="00F36792">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3D2B02A1" w14:textId="369E5F4A" w:rsidR="00F36792" w:rsidRPr="00CC77D5" w:rsidRDefault="00F36792" w:rsidP="00602E7A">
            <w:pPr>
              <w:pStyle w:val="ListParagraph"/>
              <w:ind w:left="286"/>
              <w:rPr>
                <w:rFonts w:ascii="Times New Roman" w:hAnsi="Times New Roman" w:cs="Times New Roman"/>
              </w:rPr>
            </w:pPr>
          </w:p>
        </w:tc>
        <w:tc>
          <w:tcPr>
            <w:tcW w:w="7046" w:type="dxa"/>
          </w:tcPr>
          <w:p w14:paraId="3610B24E" w14:textId="1870B361" w:rsidR="00F36792" w:rsidRPr="00CC77D5" w:rsidRDefault="00F36792" w:rsidP="00602E7A">
            <w:pPr>
              <w:tabs>
                <w:tab w:val="left" w:pos="993"/>
              </w:tabs>
              <w:rPr>
                <w:rFonts w:ascii="Times New Roman" w:hAnsi="Times New Roman" w:cs="Times New Roman"/>
                <w:i/>
              </w:rPr>
            </w:pPr>
          </w:p>
        </w:tc>
      </w:tr>
      <w:tr w:rsidR="00F36792" w:rsidRPr="00CC77D5" w14:paraId="5E0E9C50" w14:textId="77777777" w:rsidTr="00F36792">
        <w:trPr>
          <w:gridAfter w:val="1"/>
          <w:wAfter w:w="13" w:type="dxa"/>
        </w:trPr>
        <w:tc>
          <w:tcPr>
            <w:tcW w:w="6947" w:type="dxa"/>
          </w:tcPr>
          <w:p w14:paraId="2B52FBC8" w14:textId="77777777" w:rsidR="00F36792" w:rsidRPr="00CC77D5" w:rsidRDefault="00F36792" w:rsidP="00602E7A">
            <w:pPr>
              <w:tabs>
                <w:tab w:val="left" w:pos="993"/>
              </w:tabs>
              <w:spacing w:before="40" w:after="40"/>
              <w:rPr>
                <w:rFonts w:ascii="Times New Roman" w:hAnsi="Times New Roman" w:cs="Times New Roman"/>
                <w:b/>
              </w:rPr>
            </w:pPr>
            <w:r w:rsidRPr="00CC77D5">
              <w:rPr>
                <w:rFonts w:ascii="Times New Roman" w:hAnsi="Times New Roman" w:cs="Times New Roman"/>
                <w:b/>
              </w:rPr>
              <w:t>Papildu informācija</w:t>
            </w:r>
          </w:p>
        </w:tc>
        <w:tc>
          <w:tcPr>
            <w:tcW w:w="7046" w:type="dxa"/>
          </w:tcPr>
          <w:p w14:paraId="2991EBC5" w14:textId="77777777" w:rsidR="00F36792" w:rsidRPr="00CC77D5" w:rsidRDefault="00F36792" w:rsidP="00602E7A">
            <w:pPr>
              <w:tabs>
                <w:tab w:val="left" w:pos="993"/>
              </w:tabs>
              <w:rPr>
                <w:rFonts w:ascii="Times New Roman" w:hAnsi="Times New Roman" w:cs="Times New Roman"/>
                <w:u w:val="single"/>
              </w:rPr>
            </w:pPr>
          </w:p>
        </w:tc>
      </w:tr>
      <w:tr w:rsidR="00F36792" w:rsidRPr="00CC77D5" w14:paraId="21B7F3C7" w14:textId="77777777" w:rsidTr="00F36792">
        <w:trPr>
          <w:gridAfter w:val="1"/>
          <w:wAfter w:w="13" w:type="dxa"/>
        </w:trPr>
        <w:tc>
          <w:tcPr>
            <w:tcW w:w="6947" w:type="dxa"/>
          </w:tcPr>
          <w:p w14:paraId="718F884B" w14:textId="77777777" w:rsidR="00F36792" w:rsidRDefault="00F36792" w:rsidP="00602E7A">
            <w:pPr>
              <w:tabs>
                <w:tab w:val="left" w:pos="993"/>
              </w:tabs>
              <w:rPr>
                <w:rFonts w:ascii="Times New Roman" w:hAnsi="Times New Roman" w:cs="Times New Roman"/>
              </w:rPr>
            </w:pPr>
            <w:r>
              <w:rPr>
                <w:rFonts w:ascii="Times New Roman" w:hAnsi="Times New Roman" w:cs="Times New Roman"/>
              </w:rPr>
              <w:t>Citi analītiskie skaidrojumi</w:t>
            </w:r>
          </w:p>
          <w:p w14:paraId="2A6CA048" w14:textId="77777777" w:rsidR="00F36792" w:rsidRPr="00CC77D5" w:rsidDel="00BA6358" w:rsidRDefault="00F36792" w:rsidP="00602E7A">
            <w:pPr>
              <w:tabs>
                <w:tab w:val="left" w:pos="993"/>
              </w:tabs>
              <w:rPr>
                <w:rFonts w:ascii="Times New Roman" w:hAnsi="Times New Roman" w:cs="Times New Roman"/>
                <w:b/>
              </w:rPr>
            </w:pPr>
          </w:p>
        </w:tc>
        <w:tc>
          <w:tcPr>
            <w:tcW w:w="7046" w:type="dxa"/>
          </w:tcPr>
          <w:p w14:paraId="17BDE330" w14:textId="77777777" w:rsidR="00F36792" w:rsidRDefault="00F36792" w:rsidP="00602E7A">
            <w:pPr>
              <w:ind w:left="1353" w:hanging="360"/>
              <w:jc w:val="both"/>
              <w:rPr>
                <w:rFonts w:ascii="Times New Roman" w:hAnsi="Times New Roman"/>
                <w:sz w:val="24"/>
                <w:szCs w:val="24"/>
              </w:rPr>
            </w:pPr>
          </w:p>
          <w:p w14:paraId="6AC15E89" w14:textId="77777777" w:rsidR="00F36792" w:rsidRDefault="00F36792" w:rsidP="00602E7A">
            <w:pPr>
              <w:widowControl w:val="0"/>
              <w:ind w:left="851"/>
              <w:rPr>
                <w:rFonts w:ascii="Times New Roman" w:hAnsi="Times New Roman"/>
                <w:sz w:val="24"/>
                <w:szCs w:val="24"/>
              </w:rPr>
            </w:pPr>
          </w:p>
          <w:p w14:paraId="17548D28" w14:textId="77777777" w:rsidR="00F36792" w:rsidRPr="00CC77D5" w:rsidRDefault="00F36792" w:rsidP="00602E7A">
            <w:pPr>
              <w:widowControl w:val="0"/>
              <w:ind w:left="851"/>
              <w:rPr>
                <w:rFonts w:ascii="Times New Roman" w:hAnsi="Times New Roman" w:cs="Times New Roman"/>
                <w:u w:val="single"/>
              </w:rPr>
            </w:pPr>
          </w:p>
        </w:tc>
      </w:tr>
    </w:tbl>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5763C497" w14:textId="2D8DC3B2" w:rsidR="00C30A09" w:rsidRPr="00AA3B7C" w:rsidRDefault="00C30A09" w:rsidP="00AA3B7C">
      <w:pPr>
        <w:spacing w:after="0" w:line="240" w:lineRule="auto"/>
        <w:rPr>
          <w:rFonts w:ascii="Times New Roman" w:hAnsi="Times New Roman" w:cs="Times New Roman"/>
          <w:b/>
          <w:sz w:val="24"/>
          <w:szCs w:val="20"/>
        </w:rPr>
      </w:pPr>
    </w:p>
    <w:tbl>
      <w:tblPr>
        <w:tblW w:w="0" w:type="auto"/>
        <w:tblCellMar>
          <w:left w:w="0" w:type="dxa"/>
          <w:right w:w="0" w:type="dxa"/>
        </w:tblCellMar>
        <w:tblLook w:val="00A0" w:firstRow="1" w:lastRow="0" w:firstColumn="1" w:lastColumn="0" w:noHBand="0" w:noVBand="0"/>
      </w:tblPr>
      <w:tblGrid>
        <w:gridCol w:w="14003"/>
      </w:tblGrid>
      <w:tr w:rsidR="00D13F9C" w:rsidRPr="00787F0F" w14:paraId="6524DAD9" w14:textId="77777777" w:rsidTr="00955C0B">
        <w:trPr>
          <w:trHeight w:val="255"/>
        </w:trPr>
        <w:tc>
          <w:tcPr>
            <w:tcW w:w="14003" w:type="dxa"/>
            <w:vAlign w:val="bottom"/>
          </w:tcPr>
          <w:p w14:paraId="0DF0ACE1" w14:textId="6AB7EC67" w:rsidR="00D13F9C" w:rsidRPr="00D13F9C" w:rsidRDefault="00D13F9C" w:rsidP="00030F63">
            <w:pPr>
              <w:spacing w:after="0" w:line="240" w:lineRule="auto"/>
              <w:rPr>
                <w:rFonts w:ascii="Times New Roman" w:hAnsi="Times New Roman"/>
                <w:sz w:val="20"/>
                <w:szCs w:val="20"/>
                <w:highlight w:val="yellow"/>
                <w:lang w:eastAsia="lv-LV"/>
              </w:rPr>
            </w:pPr>
            <w:r w:rsidRPr="00787F0F">
              <w:rPr>
                <w:rFonts w:ascii="Times New Roman" w:hAnsi="Times New Roman"/>
                <w:sz w:val="20"/>
                <w:szCs w:val="20"/>
                <w:lang w:eastAsia="lv-LV"/>
              </w:rPr>
              <w:t> </w:t>
            </w:r>
            <w:r w:rsidR="00030F63">
              <w:rPr>
                <w:rFonts w:ascii="Times New Roman" w:hAnsi="Times New Roman"/>
                <w:sz w:val="24"/>
                <w:szCs w:val="24"/>
                <w:lang w:eastAsia="lv-LV"/>
              </w:rPr>
              <w:t>Direktors M. Grigāne</w:t>
            </w:r>
          </w:p>
        </w:tc>
      </w:tr>
      <w:tr w:rsidR="00D13F9C" w:rsidRPr="00787F0F" w14:paraId="0028721A" w14:textId="77777777" w:rsidTr="00955C0B">
        <w:trPr>
          <w:trHeight w:val="255"/>
        </w:trPr>
        <w:tc>
          <w:tcPr>
            <w:tcW w:w="14003" w:type="dxa"/>
            <w:vAlign w:val="bottom"/>
          </w:tcPr>
          <w:p w14:paraId="51ECAFFE" w14:textId="515C713B" w:rsidR="00D13F9C" w:rsidRPr="00787F0F" w:rsidRDefault="00D13F9C" w:rsidP="00955C0B">
            <w:pPr>
              <w:spacing w:after="0" w:line="240" w:lineRule="auto"/>
              <w:rPr>
                <w:rFonts w:ascii="Times New Roman" w:hAnsi="Times New Roman"/>
                <w:sz w:val="20"/>
                <w:szCs w:val="20"/>
                <w:lang w:eastAsia="lv-LV"/>
              </w:rPr>
            </w:pPr>
            <w:r w:rsidRPr="00787F0F">
              <w:rPr>
                <w:rFonts w:ascii="Times New Roman" w:hAnsi="Times New Roman"/>
                <w:sz w:val="20"/>
                <w:szCs w:val="20"/>
                <w:lang w:eastAsia="lv-LV"/>
              </w:rPr>
              <w:t> </w:t>
            </w:r>
            <w:r w:rsidRPr="00787F0F">
              <w:rPr>
                <w:rFonts w:ascii="Times New Roman" w:hAnsi="Times New Roman"/>
                <w:sz w:val="24"/>
                <w:szCs w:val="24"/>
                <w:lang w:eastAsia="lv-LV"/>
              </w:rPr>
              <w:t xml:space="preserve">Finansists </w:t>
            </w:r>
            <w:r w:rsidRPr="006C2A85">
              <w:rPr>
                <w:rFonts w:ascii="Times New Roman" w:hAnsi="Times New Roman"/>
                <w:lang w:eastAsia="lv-LV"/>
              </w:rPr>
              <w:t>V.</w:t>
            </w:r>
            <w:r w:rsidR="006C2A85">
              <w:rPr>
                <w:rFonts w:ascii="Times New Roman" w:hAnsi="Times New Roman"/>
                <w:lang w:eastAsia="lv-LV"/>
              </w:rPr>
              <w:t xml:space="preserve"> </w:t>
            </w:r>
            <w:r w:rsidRPr="006C2A85">
              <w:rPr>
                <w:rFonts w:ascii="Times New Roman" w:hAnsi="Times New Roman"/>
                <w:lang w:eastAsia="lv-LV"/>
              </w:rPr>
              <w:t>Ādama</w:t>
            </w:r>
            <w:r w:rsidRPr="00787F0F">
              <w:rPr>
                <w:rFonts w:ascii="Times New Roman" w:hAnsi="Times New Roman"/>
                <w:sz w:val="20"/>
                <w:szCs w:val="20"/>
                <w:lang w:eastAsia="lv-LV"/>
              </w:rPr>
              <w:t xml:space="preserve"> </w:t>
            </w:r>
          </w:p>
        </w:tc>
      </w:tr>
    </w:tbl>
    <w:p w14:paraId="0ECB55C0" w14:textId="504D35D6" w:rsidR="00D13F9C" w:rsidRPr="00787F0F" w:rsidRDefault="00D13F9C" w:rsidP="00D13F9C">
      <w:pPr>
        <w:spacing w:after="0" w:line="240" w:lineRule="auto"/>
        <w:rPr>
          <w:rFonts w:ascii="Times New Roman" w:hAnsi="Times New Roman"/>
          <w:sz w:val="20"/>
          <w:szCs w:val="20"/>
          <w:lang w:eastAsia="lv-LV"/>
        </w:rPr>
      </w:pPr>
      <w:r w:rsidRPr="00787F0F">
        <w:rPr>
          <w:rFonts w:ascii="Times New Roman" w:hAnsi="Times New Roman"/>
          <w:sz w:val="24"/>
          <w:szCs w:val="24"/>
          <w:lang w:eastAsia="lv-LV"/>
        </w:rPr>
        <w:t>20</w:t>
      </w:r>
      <w:r w:rsidR="00E32139">
        <w:rPr>
          <w:rFonts w:ascii="Times New Roman" w:hAnsi="Times New Roman"/>
          <w:sz w:val="24"/>
          <w:szCs w:val="24"/>
          <w:lang w:eastAsia="lv-LV"/>
        </w:rPr>
        <w:t>20</w:t>
      </w:r>
      <w:r w:rsidRPr="00787F0F">
        <w:rPr>
          <w:rFonts w:ascii="Times New Roman" w:hAnsi="Times New Roman"/>
          <w:sz w:val="24"/>
          <w:szCs w:val="24"/>
          <w:lang w:eastAsia="lv-LV"/>
        </w:rPr>
        <w:t xml:space="preserve">. gada </w:t>
      </w:r>
      <w:r w:rsidR="00030F63">
        <w:rPr>
          <w:rFonts w:ascii="Times New Roman" w:hAnsi="Times New Roman"/>
          <w:sz w:val="24"/>
          <w:szCs w:val="24"/>
          <w:lang w:eastAsia="lv-LV"/>
        </w:rPr>
        <w:t>06</w:t>
      </w:r>
      <w:r w:rsidRPr="00787F0F">
        <w:rPr>
          <w:rFonts w:ascii="Times New Roman" w:hAnsi="Times New Roman"/>
          <w:sz w:val="24"/>
          <w:szCs w:val="24"/>
          <w:lang w:eastAsia="lv-LV"/>
        </w:rPr>
        <w:t xml:space="preserve">. </w:t>
      </w:r>
      <w:r w:rsidR="00BE348A">
        <w:rPr>
          <w:rFonts w:ascii="Times New Roman" w:hAnsi="Times New Roman"/>
          <w:sz w:val="24"/>
          <w:szCs w:val="24"/>
          <w:lang w:eastAsia="lv-LV"/>
        </w:rPr>
        <w:t>oktobrī</w:t>
      </w:r>
      <w:r w:rsidR="003C07F0">
        <w:rPr>
          <w:rFonts w:ascii="Times New Roman" w:hAnsi="Times New Roman"/>
          <w:sz w:val="24"/>
          <w:szCs w:val="24"/>
          <w:lang w:eastAsia="lv-LV"/>
        </w:rPr>
        <w:t xml:space="preserve"> .</w:t>
      </w:r>
    </w:p>
    <w:p w14:paraId="2A29F205" w14:textId="029077B7" w:rsidR="00C30A09" w:rsidRPr="00D711C2" w:rsidRDefault="00C30A09" w:rsidP="00EB347E">
      <w:pPr>
        <w:pStyle w:val="naisf"/>
        <w:tabs>
          <w:tab w:val="left" w:pos="6521"/>
        </w:tabs>
        <w:spacing w:before="0" w:after="0"/>
        <w:ind w:firstLine="0"/>
        <w:rPr>
          <w:sz w:val="28"/>
          <w:szCs w:val="28"/>
        </w:rPr>
      </w:pPr>
    </w:p>
    <w:sectPr w:rsidR="00C30A09" w:rsidRPr="00D711C2"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139AA" w16cid:durableId="20DB2050"/>
  <w16cid:commentId w16cid:paraId="5DC3E83B" w16cid:durableId="20DABCA4"/>
  <w16cid:commentId w16cid:paraId="078F40CE" w16cid:durableId="20DB1ED3"/>
  <w16cid:commentId w16cid:paraId="087923F0" w16cid:durableId="20DB1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34F73" w14:textId="77777777" w:rsidR="006B03D5" w:rsidRDefault="006B03D5" w:rsidP="00B31666">
      <w:pPr>
        <w:spacing w:after="0" w:line="240" w:lineRule="auto"/>
      </w:pPr>
      <w:r>
        <w:separator/>
      </w:r>
    </w:p>
  </w:endnote>
  <w:endnote w:type="continuationSeparator" w:id="0">
    <w:p w14:paraId="7EA6C47F" w14:textId="77777777" w:rsidR="006B03D5" w:rsidRDefault="006B03D5"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1"/>
    <w:family w:val="roman"/>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955C0B" w:rsidRPr="00C30A09" w:rsidRDefault="00955C0B" w:rsidP="00C30A09">
    <w:pPr>
      <w:pStyle w:val="Footer"/>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903C3" w14:textId="77777777" w:rsidR="006B03D5" w:rsidRDefault="006B03D5" w:rsidP="00B31666">
      <w:pPr>
        <w:spacing w:after="0" w:line="240" w:lineRule="auto"/>
      </w:pPr>
      <w:r>
        <w:separator/>
      </w:r>
    </w:p>
  </w:footnote>
  <w:footnote w:type="continuationSeparator" w:id="0">
    <w:p w14:paraId="33D6A7AF" w14:textId="77777777" w:rsidR="006B03D5" w:rsidRDefault="006B03D5"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4A205401" w:rsidR="00955C0B" w:rsidRPr="00C30A09" w:rsidRDefault="00955C0B">
        <w:pPr>
          <w:pStyle w:val="Header"/>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5E4ED0">
          <w:rPr>
            <w:rFonts w:ascii="Times New Roman" w:hAnsi="Times New Roman" w:cs="Times New Roman"/>
            <w:noProof/>
            <w:sz w:val="24"/>
            <w:szCs w:val="24"/>
          </w:rPr>
          <w:t>9</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7"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8"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4"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19"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0" w15:restartNumberingAfterBreak="0">
    <w:nsid w:val="650B2D65"/>
    <w:multiLevelType w:val="hybridMultilevel"/>
    <w:tmpl w:val="63424FCE"/>
    <w:lvl w:ilvl="0" w:tplc="9D880AE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8"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1"/>
  </w:num>
  <w:num w:numId="2">
    <w:abstractNumId w:val="5"/>
  </w:num>
  <w:num w:numId="3">
    <w:abstractNumId w:val="9"/>
  </w:num>
  <w:num w:numId="4">
    <w:abstractNumId w:val="26"/>
  </w:num>
  <w:num w:numId="5">
    <w:abstractNumId w:val="3"/>
  </w:num>
  <w:num w:numId="6">
    <w:abstractNumId w:val="13"/>
  </w:num>
  <w:num w:numId="7">
    <w:abstractNumId w:val="17"/>
  </w:num>
  <w:num w:numId="8">
    <w:abstractNumId w:val="29"/>
  </w:num>
  <w:num w:numId="9">
    <w:abstractNumId w:val="4"/>
  </w:num>
  <w:num w:numId="10">
    <w:abstractNumId w:val="31"/>
  </w:num>
  <w:num w:numId="11">
    <w:abstractNumId w:val="21"/>
  </w:num>
  <w:num w:numId="12">
    <w:abstractNumId w:val="27"/>
  </w:num>
  <w:num w:numId="13">
    <w:abstractNumId w:val="7"/>
  </w:num>
  <w:num w:numId="14">
    <w:abstractNumId w:val="14"/>
  </w:num>
  <w:num w:numId="15">
    <w:abstractNumId w:val="24"/>
  </w:num>
  <w:num w:numId="16">
    <w:abstractNumId w:val="22"/>
  </w:num>
  <w:num w:numId="17">
    <w:abstractNumId w:val="15"/>
  </w:num>
  <w:num w:numId="18">
    <w:abstractNumId w:val="2"/>
  </w:num>
  <w:num w:numId="19">
    <w:abstractNumId w:val="30"/>
  </w:num>
  <w:num w:numId="20">
    <w:abstractNumId w:val="33"/>
  </w:num>
  <w:num w:numId="21">
    <w:abstractNumId w:val="18"/>
  </w:num>
  <w:num w:numId="22">
    <w:abstractNumId w:val="28"/>
  </w:num>
  <w:num w:numId="23">
    <w:abstractNumId w:val="23"/>
  </w:num>
  <w:num w:numId="24">
    <w:abstractNumId w:val="34"/>
  </w:num>
  <w:num w:numId="25">
    <w:abstractNumId w:val="8"/>
  </w:num>
  <w:num w:numId="26">
    <w:abstractNumId w:val="0"/>
  </w:num>
  <w:num w:numId="27">
    <w:abstractNumId w:val="25"/>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2"/>
  </w:num>
  <w:num w:numId="32">
    <w:abstractNumId w:val="6"/>
  </w:num>
  <w:num w:numId="33">
    <w:abstractNumId w:val="19"/>
  </w:num>
  <w:num w:numId="34">
    <w:abstractNumId w:val="16"/>
  </w:num>
  <w:num w:numId="35">
    <w:abstractNumId w:val="12"/>
  </w:num>
  <w:num w:numId="36">
    <w:abstractNumId w:val="10"/>
  </w:num>
  <w:num w:numId="3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3317"/>
    <w:rsid w:val="00006A65"/>
    <w:rsid w:val="00007EFA"/>
    <w:rsid w:val="00010F09"/>
    <w:rsid w:val="000110B3"/>
    <w:rsid w:val="00015A03"/>
    <w:rsid w:val="000210C8"/>
    <w:rsid w:val="00026134"/>
    <w:rsid w:val="00030F63"/>
    <w:rsid w:val="0003189A"/>
    <w:rsid w:val="00032891"/>
    <w:rsid w:val="00033C30"/>
    <w:rsid w:val="0003435C"/>
    <w:rsid w:val="00036427"/>
    <w:rsid w:val="00040009"/>
    <w:rsid w:val="00040628"/>
    <w:rsid w:val="00051F92"/>
    <w:rsid w:val="00060073"/>
    <w:rsid w:val="0006421B"/>
    <w:rsid w:val="000662B4"/>
    <w:rsid w:val="00070153"/>
    <w:rsid w:val="00080DD0"/>
    <w:rsid w:val="00085233"/>
    <w:rsid w:val="000862F3"/>
    <w:rsid w:val="00086596"/>
    <w:rsid w:val="00090A43"/>
    <w:rsid w:val="00095D0A"/>
    <w:rsid w:val="00095DA3"/>
    <w:rsid w:val="000973A4"/>
    <w:rsid w:val="00097952"/>
    <w:rsid w:val="000A31F4"/>
    <w:rsid w:val="000B1069"/>
    <w:rsid w:val="000B2AA0"/>
    <w:rsid w:val="000B499F"/>
    <w:rsid w:val="000B7EBD"/>
    <w:rsid w:val="000C287F"/>
    <w:rsid w:val="000D03A6"/>
    <w:rsid w:val="000D0663"/>
    <w:rsid w:val="000D2E20"/>
    <w:rsid w:val="000D4BE0"/>
    <w:rsid w:val="000D6A2E"/>
    <w:rsid w:val="000E6AE4"/>
    <w:rsid w:val="000F17E8"/>
    <w:rsid w:val="000F70E7"/>
    <w:rsid w:val="000F7AFF"/>
    <w:rsid w:val="00105123"/>
    <w:rsid w:val="001054A7"/>
    <w:rsid w:val="00106F76"/>
    <w:rsid w:val="00107EBF"/>
    <w:rsid w:val="00107F74"/>
    <w:rsid w:val="00112771"/>
    <w:rsid w:val="001149BC"/>
    <w:rsid w:val="00115FE6"/>
    <w:rsid w:val="001160D1"/>
    <w:rsid w:val="001241FE"/>
    <w:rsid w:val="00126092"/>
    <w:rsid w:val="0013014C"/>
    <w:rsid w:val="00134644"/>
    <w:rsid w:val="001351DD"/>
    <w:rsid w:val="00136272"/>
    <w:rsid w:val="0013797E"/>
    <w:rsid w:val="00142ADD"/>
    <w:rsid w:val="001470AA"/>
    <w:rsid w:val="0014716E"/>
    <w:rsid w:val="0015073A"/>
    <w:rsid w:val="0015167C"/>
    <w:rsid w:val="001534A1"/>
    <w:rsid w:val="00162655"/>
    <w:rsid w:val="0016274F"/>
    <w:rsid w:val="00163434"/>
    <w:rsid w:val="00163700"/>
    <w:rsid w:val="00163A98"/>
    <w:rsid w:val="00167F32"/>
    <w:rsid w:val="00170690"/>
    <w:rsid w:val="00174195"/>
    <w:rsid w:val="001851EA"/>
    <w:rsid w:val="00196301"/>
    <w:rsid w:val="00196B73"/>
    <w:rsid w:val="001976FF"/>
    <w:rsid w:val="001A211F"/>
    <w:rsid w:val="001A28EC"/>
    <w:rsid w:val="001A2ED9"/>
    <w:rsid w:val="001B0183"/>
    <w:rsid w:val="001B3228"/>
    <w:rsid w:val="001B7DC1"/>
    <w:rsid w:val="001C00F1"/>
    <w:rsid w:val="001C0F17"/>
    <w:rsid w:val="001C101B"/>
    <w:rsid w:val="001C35E3"/>
    <w:rsid w:val="001C41C0"/>
    <w:rsid w:val="001C5534"/>
    <w:rsid w:val="001C5848"/>
    <w:rsid w:val="001C6F98"/>
    <w:rsid w:val="001D0800"/>
    <w:rsid w:val="001D3AE6"/>
    <w:rsid w:val="001D5AC4"/>
    <w:rsid w:val="001D6E4E"/>
    <w:rsid w:val="001E0240"/>
    <w:rsid w:val="001E358F"/>
    <w:rsid w:val="001E57AB"/>
    <w:rsid w:val="001E7744"/>
    <w:rsid w:val="001E7F19"/>
    <w:rsid w:val="001F1266"/>
    <w:rsid w:val="001F14E2"/>
    <w:rsid w:val="001F1804"/>
    <w:rsid w:val="001F2A1B"/>
    <w:rsid w:val="001F583A"/>
    <w:rsid w:val="001F5BD3"/>
    <w:rsid w:val="002003B3"/>
    <w:rsid w:val="00204B35"/>
    <w:rsid w:val="00205CF0"/>
    <w:rsid w:val="00206B98"/>
    <w:rsid w:val="00207FE9"/>
    <w:rsid w:val="00212544"/>
    <w:rsid w:val="0021255B"/>
    <w:rsid w:val="002205D3"/>
    <w:rsid w:val="002231FD"/>
    <w:rsid w:val="00223D69"/>
    <w:rsid w:val="002265EA"/>
    <w:rsid w:val="00233CE5"/>
    <w:rsid w:val="00233D56"/>
    <w:rsid w:val="0023420B"/>
    <w:rsid w:val="002354AB"/>
    <w:rsid w:val="00244B02"/>
    <w:rsid w:val="002456EA"/>
    <w:rsid w:val="00247569"/>
    <w:rsid w:val="002479EF"/>
    <w:rsid w:val="00250FB0"/>
    <w:rsid w:val="0025239F"/>
    <w:rsid w:val="0025454D"/>
    <w:rsid w:val="002579A4"/>
    <w:rsid w:val="00266422"/>
    <w:rsid w:val="00270544"/>
    <w:rsid w:val="00273758"/>
    <w:rsid w:val="002741F5"/>
    <w:rsid w:val="0028283E"/>
    <w:rsid w:val="00283056"/>
    <w:rsid w:val="00286212"/>
    <w:rsid w:val="00286E74"/>
    <w:rsid w:val="0029075A"/>
    <w:rsid w:val="00292985"/>
    <w:rsid w:val="00295062"/>
    <w:rsid w:val="002A28C5"/>
    <w:rsid w:val="002A5C43"/>
    <w:rsid w:val="002A5ECA"/>
    <w:rsid w:val="002B0C23"/>
    <w:rsid w:val="002B3DCB"/>
    <w:rsid w:val="002C03E7"/>
    <w:rsid w:val="002C17E3"/>
    <w:rsid w:val="002C1E32"/>
    <w:rsid w:val="002C2FCF"/>
    <w:rsid w:val="002C40A8"/>
    <w:rsid w:val="002C46C5"/>
    <w:rsid w:val="002C4E6F"/>
    <w:rsid w:val="002C7199"/>
    <w:rsid w:val="002D0E03"/>
    <w:rsid w:val="002D111F"/>
    <w:rsid w:val="002D1ED6"/>
    <w:rsid w:val="002D2DDE"/>
    <w:rsid w:val="002D68F1"/>
    <w:rsid w:val="002D73A4"/>
    <w:rsid w:val="002D7E56"/>
    <w:rsid w:val="002E1111"/>
    <w:rsid w:val="002E22A0"/>
    <w:rsid w:val="002E6043"/>
    <w:rsid w:val="002E6A33"/>
    <w:rsid w:val="002E6B30"/>
    <w:rsid w:val="002F0E2E"/>
    <w:rsid w:val="002F3501"/>
    <w:rsid w:val="002F760C"/>
    <w:rsid w:val="00301958"/>
    <w:rsid w:val="00303A57"/>
    <w:rsid w:val="00305379"/>
    <w:rsid w:val="00305D24"/>
    <w:rsid w:val="003063FF"/>
    <w:rsid w:val="00314768"/>
    <w:rsid w:val="00315D74"/>
    <w:rsid w:val="00317C6B"/>
    <w:rsid w:val="00320A19"/>
    <w:rsid w:val="00321447"/>
    <w:rsid w:val="00322303"/>
    <w:rsid w:val="00327645"/>
    <w:rsid w:val="00327A85"/>
    <w:rsid w:val="00330711"/>
    <w:rsid w:val="003330D9"/>
    <w:rsid w:val="00334310"/>
    <w:rsid w:val="00334AC8"/>
    <w:rsid w:val="00335035"/>
    <w:rsid w:val="00337B27"/>
    <w:rsid w:val="00344B0C"/>
    <w:rsid w:val="003450E7"/>
    <w:rsid w:val="00354CC9"/>
    <w:rsid w:val="00354E27"/>
    <w:rsid w:val="0036176F"/>
    <w:rsid w:val="0036799B"/>
    <w:rsid w:val="00372B61"/>
    <w:rsid w:val="00373FEC"/>
    <w:rsid w:val="00377F28"/>
    <w:rsid w:val="00382665"/>
    <w:rsid w:val="00382B0A"/>
    <w:rsid w:val="0038308E"/>
    <w:rsid w:val="0038454A"/>
    <w:rsid w:val="00391992"/>
    <w:rsid w:val="003A06A7"/>
    <w:rsid w:val="003A1354"/>
    <w:rsid w:val="003A3506"/>
    <w:rsid w:val="003A4D69"/>
    <w:rsid w:val="003A7081"/>
    <w:rsid w:val="003A70A5"/>
    <w:rsid w:val="003B0C7B"/>
    <w:rsid w:val="003B1964"/>
    <w:rsid w:val="003B4BCC"/>
    <w:rsid w:val="003B4F92"/>
    <w:rsid w:val="003C07F0"/>
    <w:rsid w:val="003C7485"/>
    <w:rsid w:val="003D0AC8"/>
    <w:rsid w:val="003D2D3A"/>
    <w:rsid w:val="003D5BD3"/>
    <w:rsid w:val="003D5FCE"/>
    <w:rsid w:val="003D7FA0"/>
    <w:rsid w:val="003E33B6"/>
    <w:rsid w:val="003E3FEF"/>
    <w:rsid w:val="003E7CFF"/>
    <w:rsid w:val="003F125A"/>
    <w:rsid w:val="003F241C"/>
    <w:rsid w:val="003F3DE0"/>
    <w:rsid w:val="003F40BF"/>
    <w:rsid w:val="003F4B07"/>
    <w:rsid w:val="003F5B75"/>
    <w:rsid w:val="003F7E05"/>
    <w:rsid w:val="00400EA5"/>
    <w:rsid w:val="00402B87"/>
    <w:rsid w:val="00403083"/>
    <w:rsid w:val="0040335C"/>
    <w:rsid w:val="00407181"/>
    <w:rsid w:val="00410B99"/>
    <w:rsid w:val="00414C13"/>
    <w:rsid w:val="00416F4F"/>
    <w:rsid w:val="00420047"/>
    <w:rsid w:val="00421B53"/>
    <w:rsid w:val="004255EB"/>
    <w:rsid w:val="00432178"/>
    <w:rsid w:val="00441288"/>
    <w:rsid w:val="00441A16"/>
    <w:rsid w:val="00444091"/>
    <w:rsid w:val="00444461"/>
    <w:rsid w:val="00444EF6"/>
    <w:rsid w:val="00444FEB"/>
    <w:rsid w:val="004468E4"/>
    <w:rsid w:val="00447C0E"/>
    <w:rsid w:val="004513C9"/>
    <w:rsid w:val="004517C6"/>
    <w:rsid w:val="00453016"/>
    <w:rsid w:val="00454651"/>
    <w:rsid w:val="0045498A"/>
    <w:rsid w:val="00456F31"/>
    <w:rsid w:val="004603CD"/>
    <w:rsid w:val="00462212"/>
    <w:rsid w:val="00463BEB"/>
    <w:rsid w:val="00465014"/>
    <w:rsid w:val="00466A13"/>
    <w:rsid w:val="00474AD0"/>
    <w:rsid w:val="004870C8"/>
    <w:rsid w:val="0048745E"/>
    <w:rsid w:val="004A3188"/>
    <w:rsid w:val="004A3977"/>
    <w:rsid w:val="004A7D3E"/>
    <w:rsid w:val="004B1597"/>
    <w:rsid w:val="004B3A31"/>
    <w:rsid w:val="004B40B6"/>
    <w:rsid w:val="004B6C59"/>
    <w:rsid w:val="004B704B"/>
    <w:rsid w:val="004B7A8D"/>
    <w:rsid w:val="004C074A"/>
    <w:rsid w:val="004C296F"/>
    <w:rsid w:val="004C4DA3"/>
    <w:rsid w:val="004C5122"/>
    <w:rsid w:val="004C6F28"/>
    <w:rsid w:val="004C707A"/>
    <w:rsid w:val="004D15CE"/>
    <w:rsid w:val="004D3748"/>
    <w:rsid w:val="004D3F32"/>
    <w:rsid w:val="004D4BC7"/>
    <w:rsid w:val="004D7C4E"/>
    <w:rsid w:val="004E026B"/>
    <w:rsid w:val="004E5706"/>
    <w:rsid w:val="004F1B57"/>
    <w:rsid w:val="004F337B"/>
    <w:rsid w:val="004F5395"/>
    <w:rsid w:val="00502F1E"/>
    <w:rsid w:val="005060B0"/>
    <w:rsid w:val="005064CE"/>
    <w:rsid w:val="00506C70"/>
    <w:rsid w:val="00512611"/>
    <w:rsid w:val="00513DF8"/>
    <w:rsid w:val="00514807"/>
    <w:rsid w:val="00514DD3"/>
    <w:rsid w:val="00521A4F"/>
    <w:rsid w:val="0052693B"/>
    <w:rsid w:val="0052705D"/>
    <w:rsid w:val="00527BF3"/>
    <w:rsid w:val="0053634B"/>
    <w:rsid w:val="00541082"/>
    <w:rsid w:val="00541E9D"/>
    <w:rsid w:val="005449DF"/>
    <w:rsid w:val="005456D1"/>
    <w:rsid w:val="00545D68"/>
    <w:rsid w:val="005462CE"/>
    <w:rsid w:val="00546996"/>
    <w:rsid w:val="00547526"/>
    <w:rsid w:val="005531B4"/>
    <w:rsid w:val="005562F2"/>
    <w:rsid w:val="0056210E"/>
    <w:rsid w:val="0056580A"/>
    <w:rsid w:val="00567C27"/>
    <w:rsid w:val="00571A8F"/>
    <w:rsid w:val="005740B7"/>
    <w:rsid w:val="00576758"/>
    <w:rsid w:val="0058017D"/>
    <w:rsid w:val="00582119"/>
    <w:rsid w:val="00582830"/>
    <w:rsid w:val="005847C2"/>
    <w:rsid w:val="00587D4A"/>
    <w:rsid w:val="00587EA2"/>
    <w:rsid w:val="0059228A"/>
    <w:rsid w:val="00592538"/>
    <w:rsid w:val="00597BF1"/>
    <w:rsid w:val="005A0023"/>
    <w:rsid w:val="005A41BE"/>
    <w:rsid w:val="005A5140"/>
    <w:rsid w:val="005A713C"/>
    <w:rsid w:val="005A7427"/>
    <w:rsid w:val="005B7BE1"/>
    <w:rsid w:val="005C05C5"/>
    <w:rsid w:val="005C13B9"/>
    <w:rsid w:val="005C24F3"/>
    <w:rsid w:val="005C2BB3"/>
    <w:rsid w:val="005C4B2D"/>
    <w:rsid w:val="005C5281"/>
    <w:rsid w:val="005C64FC"/>
    <w:rsid w:val="005D0C51"/>
    <w:rsid w:val="005D11DC"/>
    <w:rsid w:val="005D34BC"/>
    <w:rsid w:val="005E2D6D"/>
    <w:rsid w:val="005E3AE6"/>
    <w:rsid w:val="005E3FEC"/>
    <w:rsid w:val="005E4ED0"/>
    <w:rsid w:val="005E5F49"/>
    <w:rsid w:val="005E6A04"/>
    <w:rsid w:val="005F5E3F"/>
    <w:rsid w:val="00601E40"/>
    <w:rsid w:val="006059E0"/>
    <w:rsid w:val="006126DC"/>
    <w:rsid w:val="00614E00"/>
    <w:rsid w:val="006162CE"/>
    <w:rsid w:val="0062399D"/>
    <w:rsid w:val="0063153A"/>
    <w:rsid w:val="0064223C"/>
    <w:rsid w:val="00646AF0"/>
    <w:rsid w:val="006477A9"/>
    <w:rsid w:val="00651FAC"/>
    <w:rsid w:val="00655D52"/>
    <w:rsid w:val="00657530"/>
    <w:rsid w:val="00657C37"/>
    <w:rsid w:val="00661375"/>
    <w:rsid w:val="00662367"/>
    <w:rsid w:val="0066342D"/>
    <w:rsid w:val="00666787"/>
    <w:rsid w:val="006707CF"/>
    <w:rsid w:val="006756A5"/>
    <w:rsid w:val="006775EF"/>
    <w:rsid w:val="0068248E"/>
    <w:rsid w:val="00683DAF"/>
    <w:rsid w:val="006862BD"/>
    <w:rsid w:val="006876CD"/>
    <w:rsid w:val="006923E9"/>
    <w:rsid w:val="00695A72"/>
    <w:rsid w:val="006971BE"/>
    <w:rsid w:val="006A029F"/>
    <w:rsid w:val="006A2FC0"/>
    <w:rsid w:val="006A4679"/>
    <w:rsid w:val="006A4C6F"/>
    <w:rsid w:val="006B03D5"/>
    <w:rsid w:val="006B0DAD"/>
    <w:rsid w:val="006B1814"/>
    <w:rsid w:val="006B2E30"/>
    <w:rsid w:val="006B4630"/>
    <w:rsid w:val="006B4999"/>
    <w:rsid w:val="006B4D66"/>
    <w:rsid w:val="006B66F3"/>
    <w:rsid w:val="006B7A66"/>
    <w:rsid w:val="006B7C02"/>
    <w:rsid w:val="006C2A85"/>
    <w:rsid w:val="006C6175"/>
    <w:rsid w:val="006C714A"/>
    <w:rsid w:val="006C7695"/>
    <w:rsid w:val="006D0212"/>
    <w:rsid w:val="006D14DC"/>
    <w:rsid w:val="006D22C5"/>
    <w:rsid w:val="006D33A7"/>
    <w:rsid w:val="006D411A"/>
    <w:rsid w:val="006D6572"/>
    <w:rsid w:val="006D6A24"/>
    <w:rsid w:val="006E7877"/>
    <w:rsid w:val="006F0BC6"/>
    <w:rsid w:val="006F3C95"/>
    <w:rsid w:val="006F731F"/>
    <w:rsid w:val="00702B55"/>
    <w:rsid w:val="00704714"/>
    <w:rsid w:val="0071481A"/>
    <w:rsid w:val="007171BA"/>
    <w:rsid w:val="007208F5"/>
    <w:rsid w:val="00720B6A"/>
    <w:rsid w:val="0072118F"/>
    <w:rsid w:val="0072466B"/>
    <w:rsid w:val="00731354"/>
    <w:rsid w:val="00732A96"/>
    <w:rsid w:val="007340D5"/>
    <w:rsid w:val="00736691"/>
    <w:rsid w:val="00742672"/>
    <w:rsid w:val="00750688"/>
    <w:rsid w:val="00750B74"/>
    <w:rsid w:val="0075207E"/>
    <w:rsid w:val="00753262"/>
    <w:rsid w:val="0075680C"/>
    <w:rsid w:val="00756B1B"/>
    <w:rsid w:val="00760273"/>
    <w:rsid w:val="007608AB"/>
    <w:rsid w:val="007616A4"/>
    <w:rsid w:val="00764110"/>
    <w:rsid w:val="00765F2A"/>
    <w:rsid w:val="00770CA2"/>
    <w:rsid w:val="00780842"/>
    <w:rsid w:val="00782B6A"/>
    <w:rsid w:val="0078464A"/>
    <w:rsid w:val="00785A76"/>
    <w:rsid w:val="00787CE8"/>
    <w:rsid w:val="0079043A"/>
    <w:rsid w:val="00791E01"/>
    <w:rsid w:val="00793F0D"/>
    <w:rsid w:val="00795135"/>
    <w:rsid w:val="007A398D"/>
    <w:rsid w:val="007A635C"/>
    <w:rsid w:val="007A7009"/>
    <w:rsid w:val="007A7F79"/>
    <w:rsid w:val="007B59DF"/>
    <w:rsid w:val="007B5ECF"/>
    <w:rsid w:val="007B6641"/>
    <w:rsid w:val="007C0433"/>
    <w:rsid w:val="007C2D72"/>
    <w:rsid w:val="007C461C"/>
    <w:rsid w:val="007C4B3D"/>
    <w:rsid w:val="007C4BD7"/>
    <w:rsid w:val="007D0CCD"/>
    <w:rsid w:val="007D15B1"/>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6636"/>
    <w:rsid w:val="00803846"/>
    <w:rsid w:val="00804647"/>
    <w:rsid w:val="008057AE"/>
    <w:rsid w:val="00814700"/>
    <w:rsid w:val="0081535F"/>
    <w:rsid w:val="00816442"/>
    <w:rsid w:val="008165B2"/>
    <w:rsid w:val="00824BF8"/>
    <w:rsid w:val="00825D3C"/>
    <w:rsid w:val="008265CA"/>
    <w:rsid w:val="00830B8F"/>
    <w:rsid w:val="00832BDE"/>
    <w:rsid w:val="00833800"/>
    <w:rsid w:val="00833954"/>
    <w:rsid w:val="0083460D"/>
    <w:rsid w:val="008347B2"/>
    <w:rsid w:val="00840CB8"/>
    <w:rsid w:val="008427BE"/>
    <w:rsid w:val="00842C75"/>
    <w:rsid w:val="00843DBC"/>
    <w:rsid w:val="00845626"/>
    <w:rsid w:val="00851C89"/>
    <w:rsid w:val="00853D41"/>
    <w:rsid w:val="00854274"/>
    <w:rsid w:val="008608F7"/>
    <w:rsid w:val="00862320"/>
    <w:rsid w:val="008658EE"/>
    <w:rsid w:val="00867C71"/>
    <w:rsid w:val="008774DC"/>
    <w:rsid w:val="0088158C"/>
    <w:rsid w:val="0088253F"/>
    <w:rsid w:val="00886BCE"/>
    <w:rsid w:val="0089030B"/>
    <w:rsid w:val="00891ECC"/>
    <w:rsid w:val="00892D41"/>
    <w:rsid w:val="00895C12"/>
    <w:rsid w:val="008A0286"/>
    <w:rsid w:val="008A3430"/>
    <w:rsid w:val="008A5322"/>
    <w:rsid w:val="008A610F"/>
    <w:rsid w:val="008B4D84"/>
    <w:rsid w:val="008C24A5"/>
    <w:rsid w:val="008C3F12"/>
    <w:rsid w:val="008C494B"/>
    <w:rsid w:val="008C671B"/>
    <w:rsid w:val="008C7322"/>
    <w:rsid w:val="008E014B"/>
    <w:rsid w:val="008E1A31"/>
    <w:rsid w:val="008E2287"/>
    <w:rsid w:val="008E3E13"/>
    <w:rsid w:val="008E414D"/>
    <w:rsid w:val="008E41DB"/>
    <w:rsid w:val="008F0513"/>
    <w:rsid w:val="008F3F34"/>
    <w:rsid w:val="008F4F71"/>
    <w:rsid w:val="00901648"/>
    <w:rsid w:val="00901704"/>
    <w:rsid w:val="00902639"/>
    <w:rsid w:val="00904C58"/>
    <w:rsid w:val="009051E7"/>
    <w:rsid w:val="00913FF0"/>
    <w:rsid w:val="00916756"/>
    <w:rsid w:val="009171D0"/>
    <w:rsid w:val="0092360C"/>
    <w:rsid w:val="00924B7A"/>
    <w:rsid w:val="00925E88"/>
    <w:rsid w:val="00927DA6"/>
    <w:rsid w:val="00930969"/>
    <w:rsid w:val="00930D00"/>
    <w:rsid w:val="009314A2"/>
    <w:rsid w:val="009346D9"/>
    <w:rsid w:val="00935637"/>
    <w:rsid w:val="00937DCA"/>
    <w:rsid w:val="009409B5"/>
    <w:rsid w:val="009419E0"/>
    <w:rsid w:val="009474BB"/>
    <w:rsid w:val="009500B2"/>
    <w:rsid w:val="009541E6"/>
    <w:rsid w:val="00955C0B"/>
    <w:rsid w:val="00963816"/>
    <w:rsid w:val="00965884"/>
    <w:rsid w:val="009678A3"/>
    <w:rsid w:val="00967B48"/>
    <w:rsid w:val="0097220D"/>
    <w:rsid w:val="00972250"/>
    <w:rsid w:val="00973B19"/>
    <w:rsid w:val="0097568D"/>
    <w:rsid w:val="00976F2B"/>
    <w:rsid w:val="00977058"/>
    <w:rsid w:val="00981428"/>
    <w:rsid w:val="0098422D"/>
    <w:rsid w:val="00985646"/>
    <w:rsid w:val="00990A37"/>
    <w:rsid w:val="00991879"/>
    <w:rsid w:val="00992C4C"/>
    <w:rsid w:val="0099465A"/>
    <w:rsid w:val="009952FD"/>
    <w:rsid w:val="00995E6A"/>
    <w:rsid w:val="00996573"/>
    <w:rsid w:val="0099658B"/>
    <w:rsid w:val="00996DD5"/>
    <w:rsid w:val="009A4E37"/>
    <w:rsid w:val="009B2498"/>
    <w:rsid w:val="009B2880"/>
    <w:rsid w:val="009B475E"/>
    <w:rsid w:val="009B5246"/>
    <w:rsid w:val="009B6895"/>
    <w:rsid w:val="009B6AB1"/>
    <w:rsid w:val="009B765E"/>
    <w:rsid w:val="009D051B"/>
    <w:rsid w:val="009D1E93"/>
    <w:rsid w:val="009D59B3"/>
    <w:rsid w:val="009D6361"/>
    <w:rsid w:val="009E791B"/>
    <w:rsid w:val="009E792B"/>
    <w:rsid w:val="009F04FA"/>
    <w:rsid w:val="009F1FA4"/>
    <w:rsid w:val="009F237B"/>
    <w:rsid w:val="009F2F13"/>
    <w:rsid w:val="009F39F7"/>
    <w:rsid w:val="009F5F56"/>
    <w:rsid w:val="00A02681"/>
    <w:rsid w:val="00A03241"/>
    <w:rsid w:val="00A064CC"/>
    <w:rsid w:val="00A06B8E"/>
    <w:rsid w:val="00A164AB"/>
    <w:rsid w:val="00A2397D"/>
    <w:rsid w:val="00A24C7A"/>
    <w:rsid w:val="00A275CE"/>
    <w:rsid w:val="00A42D78"/>
    <w:rsid w:val="00A430F4"/>
    <w:rsid w:val="00A44248"/>
    <w:rsid w:val="00A463C6"/>
    <w:rsid w:val="00A46B27"/>
    <w:rsid w:val="00A50F90"/>
    <w:rsid w:val="00A51249"/>
    <w:rsid w:val="00A51795"/>
    <w:rsid w:val="00A52069"/>
    <w:rsid w:val="00A53094"/>
    <w:rsid w:val="00A5346C"/>
    <w:rsid w:val="00A537AA"/>
    <w:rsid w:val="00A53F3B"/>
    <w:rsid w:val="00A6367F"/>
    <w:rsid w:val="00A64322"/>
    <w:rsid w:val="00A6511B"/>
    <w:rsid w:val="00A70DEB"/>
    <w:rsid w:val="00A73BA2"/>
    <w:rsid w:val="00A74041"/>
    <w:rsid w:val="00A74293"/>
    <w:rsid w:val="00A756E5"/>
    <w:rsid w:val="00A77D1B"/>
    <w:rsid w:val="00A80A79"/>
    <w:rsid w:val="00A816A9"/>
    <w:rsid w:val="00A91DAD"/>
    <w:rsid w:val="00A91DB0"/>
    <w:rsid w:val="00A96020"/>
    <w:rsid w:val="00A96C36"/>
    <w:rsid w:val="00AA0F33"/>
    <w:rsid w:val="00AA0F73"/>
    <w:rsid w:val="00AA2E90"/>
    <w:rsid w:val="00AA3B7C"/>
    <w:rsid w:val="00AA4760"/>
    <w:rsid w:val="00AA4C6C"/>
    <w:rsid w:val="00AB4C0D"/>
    <w:rsid w:val="00AB4E51"/>
    <w:rsid w:val="00AB73E6"/>
    <w:rsid w:val="00AC7287"/>
    <w:rsid w:val="00AC7DFA"/>
    <w:rsid w:val="00AC7E1F"/>
    <w:rsid w:val="00AD04B5"/>
    <w:rsid w:val="00AD1460"/>
    <w:rsid w:val="00AD1E0B"/>
    <w:rsid w:val="00AD6348"/>
    <w:rsid w:val="00AE535F"/>
    <w:rsid w:val="00AE5C00"/>
    <w:rsid w:val="00AE670F"/>
    <w:rsid w:val="00AE7F0A"/>
    <w:rsid w:val="00AF1DF7"/>
    <w:rsid w:val="00AF37CF"/>
    <w:rsid w:val="00B006A3"/>
    <w:rsid w:val="00B009E4"/>
    <w:rsid w:val="00B03AF8"/>
    <w:rsid w:val="00B13278"/>
    <w:rsid w:val="00B17D0A"/>
    <w:rsid w:val="00B17D1F"/>
    <w:rsid w:val="00B2413D"/>
    <w:rsid w:val="00B30609"/>
    <w:rsid w:val="00B30BA6"/>
    <w:rsid w:val="00B31666"/>
    <w:rsid w:val="00B35C01"/>
    <w:rsid w:val="00B41620"/>
    <w:rsid w:val="00B43EE4"/>
    <w:rsid w:val="00B442AC"/>
    <w:rsid w:val="00B50CFE"/>
    <w:rsid w:val="00B51711"/>
    <w:rsid w:val="00B5194A"/>
    <w:rsid w:val="00B531AF"/>
    <w:rsid w:val="00B54DAB"/>
    <w:rsid w:val="00B56A31"/>
    <w:rsid w:val="00B60F4C"/>
    <w:rsid w:val="00B61246"/>
    <w:rsid w:val="00B62247"/>
    <w:rsid w:val="00B65364"/>
    <w:rsid w:val="00B72756"/>
    <w:rsid w:val="00B7621C"/>
    <w:rsid w:val="00B83DCD"/>
    <w:rsid w:val="00B845A9"/>
    <w:rsid w:val="00B85B31"/>
    <w:rsid w:val="00B85B94"/>
    <w:rsid w:val="00B902E2"/>
    <w:rsid w:val="00B93E8F"/>
    <w:rsid w:val="00BA1631"/>
    <w:rsid w:val="00BA1EA7"/>
    <w:rsid w:val="00BA2ADA"/>
    <w:rsid w:val="00BA6358"/>
    <w:rsid w:val="00BA69F0"/>
    <w:rsid w:val="00BB10D5"/>
    <w:rsid w:val="00BB1AF9"/>
    <w:rsid w:val="00BB474C"/>
    <w:rsid w:val="00BC2E3A"/>
    <w:rsid w:val="00BC68F5"/>
    <w:rsid w:val="00BD16A8"/>
    <w:rsid w:val="00BD1F16"/>
    <w:rsid w:val="00BD4050"/>
    <w:rsid w:val="00BE1016"/>
    <w:rsid w:val="00BE348A"/>
    <w:rsid w:val="00BE4313"/>
    <w:rsid w:val="00BF0B63"/>
    <w:rsid w:val="00C04456"/>
    <w:rsid w:val="00C06700"/>
    <w:rsid w:val="00C07541"/>
    <w:rsid w:val="00C13BF1"/>
    <w:rsid w:val="00C148D7"/>
    <w:rsid w:val="00C23A82"/>
    <w:rsid w:val="00C23FEF"/>
    <w:rsid w:val="00C260A7"/>
    <w:rsid w:val="00C300B2"/>
    <w:rsid w:val="00C30A09"/>
    <w:rsid w:val="00C350EF"/>
    <w:rsid w:val="00C3708E"/>
    <w:rsid w:val="00C370FB"/>
    <w:rsid w:val="00C372B0"/>
    <w:rsid w:val="00C37944"/>
    <w:rsid w:val="00C45996"/>
    <w:rsid w:val="00C46EBA"/>
    <w:rsid w:val="00C46EC2"/>
    <w:rsid w:val="00C50652"/>
    <w:rsid w:val="00C50ADF"/>
    <w:rsid w:val="00C535E4"/>
    <w:rsid w:val="00C5419E"/>
    <w:rsid w:val="00C621F7"/>
    <w:rsid w:val="00C62330"/>
    <w:rsid w:val="00C6379D"/>
    <w:rsid w:val="00C653F8"/>
    <w:rsid w:val="00C73149"/>
    <w:rsid w:val="00C7316A"/>
    <w:rsid w:val="00C74AC4"/>
    <w:rsid w:val="00C75700"/>
    <w:rsid w:val="00C75BB6"/>
    <w:rsid w:val="00C760FC"/>
    <w:rsid w:val="00C770AC"/>
    <w:rsid w:val="00C8091E"/>
    <w:rsid w:val="00C813DF"/>
    <w:rsid w:val="00C838CD"/>
    <w:rsid w:val="00C86BB2"/>
    <w:rsid w:val="00C8752B"/>
    <w:rsid w:val="00C876C3"/>
    <w:rsid w:val="00C91440"/>
    <w:rsid w:val="00C92A3C"/>
    <w:rsid w:val="00C92B12"/>
    <w:rsid w:val="00C93460"/>
    <w:rsid w:val="00C953B8"/>
    <w:rsid w:val="00C95AF1"/>
    <w:rsid w:val="00C95C1E"/>
    <w:rsid w:val="00CA3C54"/>
    <w:rsid w:val="00CA45AD"/>
    <w:rsid w:val="00CB20F9"/>
    <w:rsid w:val="00CB4E9E"/>
    <w:rsid w:val="00CB7F57"/>
    <w:rsid w:val="00CC23B9"/>
    <w:rsid w:val="00CC2ECF"/>
    <w:rsid w:val="00CC77D5"/>
    <w:rsid w:val="00CC7FB9"/>
    <w:rsid w:val="00CD0DA7"/>
    <w:rsid w:val="00CD2D7E"/>
    <w:rsid w:val="00CD3EE3"/>
    <w:rsid w:val="00CD54D8"/>
    <w:rsid w:val="00CD6E9E"/>
    <w:rsid w:val="00CE0228"/>
    <w:rsid w:val="00CE395C"/>
    <w:rsid w:val="00CE3971"/>
    <w:rsid w:val="00CE630D"/>
    <w:rsid w:val="00CE7674"/>
    <w:rsid w:val="00CF2B4A"/>
    <w:rsid w:val="00CF3837"/>
    <w:rsid w:val="00CF68B0"/>
    <w:rsid w:val="00CF6BF5"/>
    <w:rsid w:val="00D046BD"/>
    <w:rsid w:val="00D05218"/>
    <w:rsid w:val="00D118DF"/>
    <w:rsid w:val="00D13F9C"/>
    <w:rsid w:val="00D140A2"/>
    <w:rsid w:val="00D16934"/>
    <w:rsid w:val="00D16DC4"/>
    <w:rsid w:val="00D17DB4"/>
    <w:rsid w:val="00D214C8"/>
    <w:rsid w:val="00D233DD"/>
    <w:rsid w:val="00D23D1E"/>
    <w:rsid w:val="00D23F66"/>
    <w:rsid w:val="00D26C56"/>
    <w:rsid w:val="00D341B6"/>
    <w:rsid w:val="00D34D1D"/>
    <w:rsid w:val="00D41098"/>
    <w:rsid w:val="00D45006"/>
    <w:rsid w:val="00D46278"/>
    <w:rsid w:val="00D475E4"/>
    <w:rsid w:val="00D511AE"/>
    <w:rsid w:val="00D52230"/>
    <w:rsid w:val="00D5361C"/>
    <w:rsid w:val="00D5385D"/>
    <w:rsid w:val="00D54605"/>
    <w:rsid w:val="00D562ED"/>
    <w:rsid w:val="00D57486"/>
    <w:rsid w:val="00D61CD5"/>
    <w:rsid w:val="00D64A31"/>
    <w:rsid w:val="00D67BF1"/>
    <w:rsid w:val="00D776F9"/>
    <w:rsid w:val="00D80B0E"/>
    <w:rsid w:val="00D81456"/>
    <w:rsid w:val="00D859E7"/>
    <w:rsid w:val="00D87029"/>
    <w:rsid w:val="00D8722D"/>
    <w:rsid w:val="00D8779D"/>
    <w:rsid w:val="00D87FD3"/>
    <w:rsid w:val="00D90F06"/>
    <w:rsid w:val="00D94BDF"/>
    <w:rsid w:val="00D95625"/>
    <w:rsid w:val="00D96FEA"/>
    <w:rsid w:val="00D97905"/>
    <w:rsid w:val="00DA308C"/>
    <w:rsid w:val="00DA46BA"/>
    <w:rsid w:val="00DA5248"/>
    <w:rsid w:val="00DA69EA"/>
    <w:rsid w:val="00DB0CD4"/>
    <w:rsid w:val="00DB2947"/>
    <w:rsid w:val="00DB7C42"/>
    <w:rsid w:val="00DC224B"/>
    <w:rsid w:val="00DC3075"/>
    <w:rsid w:val="00DC4401"/>
    <w:rsid w:val="00DD1C39"/>
    <w:rsid w:val="00DD2A31"/>
    <w:rsid w:val="00DD4ADA"/>
    <w:rsid w:val="00DD5A5F"/>
    <w:rsid w:val="00DD69AA"/>
    <w:rsid w:val="00DE2EB1"/>
    <w:rsid w:val="00DE30A9"/>
    <w:rsid w:val="00DE6EEC"/>
    <w:rsid w:val="00DF19F1"/>
    <w:rsid w:val="00DF688D"/>
    <w:rsid w:val="00DF7157"/>
    <w:rsid w:val="00DF742E"/>
    <w:rsid w:val="00E00790"/>
    <w:rsid w:val="00E01FAD"/>
    <w:rsid w:val="00E02442"/>
    <w:rsid w:val="00E02792"/>
    <w:rsid w:val="00E04836"/>
    <w:rsid w:val="00E05316"/>
    <w:rsid w:val="00E10BD4"/>
    <w:rsid w:val="00E1165E"/>
    <w:rsid w:val="00E11F81"/>
    <w:rsid w:val="00E1629B"/>
    <w:rsid w:val="00E2166E"/>
    <w:rsid w:val="00E21C5F"/>
    <w:rsid w:val="00E2222B"/>
    <w:rsid w:val="00E229D1"/>
    <w:rsid w:val="00E239BC"/>
    <w:rsid w:val="00E268BC"/>
    <w:rsid w:val="00E3130A"/>
    <w:rsid w:val="00E32139"/>
    <w:rsid w:val="00E328FF"/>
    <w:rsid w:val="00E346BF"/>
    <w:rsid w:val="00E400C6"/>
    <w:rsid w:val="00E41281"/>
    <w:rsid w:val="00E45F3A"/>
    <w:rsid w:val="00E52605"/>
    <w:rsid w:val="00E528BB"/>
    <w:rsid w:val="00E61539"/>
    <w:rsid w:val="00E619FC"/>
    <w:rsid w:val="00E61BDC"/>
    <w:rsid w:val="00E655E4"/>
    <w:rsid w:val="00E6577A"/>
    <w:rsid w:val="00E66A84"/>
    <w:rsid w:val="00E7315A"/>
    <w:rsid w:val="00E7460E"/>
    <w:rsid w:val="00E75C30"/>
    <w:rsid w:val="00E76760"/>
    <w:rsid w:val="00E80B75"/>
    <w:rsid w:val="00E8273F"/>
    <w:rsid w:val="00E85271"/>
    <w:rsid w:val="00E86145"/>
    <w:rsid w:val="00E86C96"/>
    <w:rsid w:val="00E86FB0"/>
    <w:rsid w:val="00E87F6E"/>
    <w:rsid w:val="00E912E8"/>
    <w:rsid w:val="00E96386"/>
    <w:rsid w:val="00EA0893"/>
    <w:rsid w:val="00EA0E5C"/>
    <w:rsid w:val="00EA1174"/>
    <w:rsid w:val="00EA2FAC"/>
    <w:rsid w:val="00EA5E14"/>
    <w:rsid w:val="00EB03DF"/>
    <w:rsid w:val="00EB347E"/>
    <w:rsid w:val="00EB4226"/>
    <w:rsid w:val="00EB525B"/>
    <w:rsid w:val="00EC209E"/>
    <w:rsid w:val="00EC38AA"/>
    <w:rsid w:val="00EC71B4"/>
    <w:rsid w:val="00EC7829"/>
    <w:rsid w:val="00ED2797"/>
    <w:rsid w:val="00ED3A39"/>
    <w:rsid w:val="00ED5FBE"/>
    <w:rsid w:val="00ED6A62"/>
    <w:rsid w:val="00EE4F79"/>
    <w:rsid w:val="00EE70A2"/>
    <w:rsid w:val="00EE7ED5"/>
    <w:rsid w:val="00EF0DAD"/>
    <w:rsid w:val="00EF171F"/>
    <w:rsid w:val="00EF37DB"/>
    <w:rsid w:val="00EF5FDE"/>
    <w:rsid w:val="00F0050E"/>
    <w:rsid w:val="00F021DD"/>
    <w:rsid w:val="00F05F65"/>
    <w:rsid w:val="00F1000D"/>
    <w:rsid w:val="00F12C39"/>
    <w:rsid w:val="00F22703"/>
    <w:rsid w:val="00F22982"/>
    <w:rsid w:val="00F25005"/>
    <w:rsid w:val="00F26530"/>
    <w:rsid w:val="00F3338F"/>
    <w:rsid w:val="00F34479"/>
    <w:rsid w:val="00F34BE5"/>
    <w:rsid w:val="00F352A6"/>
    <w:rsid w:val="00F3536F"/>
    <w:rsid w:val="00F36792"/>
    <w:rsid w:val="00F41207"/>
    <w:rsid w:val="00F50A47"/>
    <w:rsid w:val="00F53D66"/>
    <w:rsid w:val="00F54B42"/>
    <w:rsid w:val="00F56173"/>
    <w:rsid w:val="00F671D8"/>
    <w:rsid w:val="00F74F73"/>
    <w:rsid w:val="00F777F8"/>
    <w:rsid w:val="00F811B8"/>
    <w:rsid w:val="00F903C4"/>
    <w:rsid w:val="00F91AFA"/>
    <w:rsid w:val="00F93ADE"/>
    <w:rsid w:val="00F977CE"/>
    <w:rsid w:val="00FA5115"/>
    <w:rsid w:val="00FA53E5"/>
    <w:rsid w:val="00FB44E6"/>
    <w:rsid w:val="00FB4F26"/>
    <w:rsid w:val="00FB6AF7"/>
    <w:rsid w:val="00FB6FA5"/>
    <w:rsid w:val="00FC20AD"/>
    <w:rsid w:val="00FC26D7"/>
    <w:rsid w:val="00FC30EF"/>
    <w:rsid w:val="00FC757E"/>
    <w:rsid w:val="00FD0FA6"/>
    <w:rsid w:val="00FD5F0A"/>
    <w:rsid w:val="00FE099F"/>
    <w:rsid w:val="00FE127E"/>
    <w:rsid w:val="00FE1C65"/>
    <w:rsid w:val="00FE2AB9"/>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66"/>
    <w:pPr>
      <w:ind w:left="720"/>
      <w:contextualSpacing/>
    </w:pPr>
  </w:style>
  <w:style w:type="paragraph" w:styleId="Header">
    <w:name w:val="header"/>
    <w:basedOn w:val="Normal"/>
    <w:link w:val="HeaderChar"/>
    <w:uiPriority w:val="99"/>
    <w:unhideWhenUsed/>
    <w:rsid w:val="00B316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666"/>
  </w:style>
  <w:style w:type="paragraph" w:styleId="Footer">
    <w:name w:val="footer"/>
    <w:basedOn w:val="Normal"/>
    <w:link w:val="FooterChar"/>
    <w:uiPriority w:val="99"/>
    <w:unhideWhenUsed/>
    <w:rsid w:val="00B316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666"/>
  </w:style>
  <w:style w:type="table" w:styleId="TableGrid">
    <w:name w:val="Table Grid"/>
    <w:basedOn w:val="TableNormal"/>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E"/>
    <w:rPr>
      <w:rFonts w:ascii="Segoe UI" w:hAnsi="Segoe UI" w:cs="Segoe UI"/>
      <w:sz w:val="18"/>
      <w:szCs w:val="18"/>
    </w:rPr>
  </w:style>
  <w:style w:type="character" w:styleId="CommentReference">
    <w:name w:val="annotation reference"/>
    <w:basedOn w:val="DefaultParagraphFont"/>
    <w:uiPriority w:val="99"/>
    <w:semiHidden/>
    <w:unhideWhenUsed/>
    <w:rsid w:val="008B4D84"/>
    <w:rPr>
      <w:sz w:val="16"/>
      <w:szCs w:val="16"/>
    </w:rPr>
  </w:style>
  <w:style w:type="paragraph" w:styleId="CommentText">
    <w:name w:val="annotation text"/>
    <w:basedOn w:val="Normal"/>
    <w:link w:val="CommentTextChar"/>
    <w:uiPriority w:val="99"/>
    <w:semiHidden/>
    <w:unhideWhenUsed/>
    <w:rsid w:val="008B4D84"/>
    <w:pPr>
      <w:spacing w:line="240" w:lineRule="auto"/>
    </w:pPr>
    <w:rPr>
      <w:sz w:val="20"/>
      <w:szCs w:val="20"/>
    </w:rPr>
  </w:style>
  <w:style w:type="character" w:customStyle="1" w:styleId="CommentTextChar">
    <w:name w:val="Comment Text Char"/>
    <w:basedOn w:val="DefaultParagraphFont"/>
    <w:link w:val="CommentText"/>
    <w:uiPriority w:val="99"/>
    <w:semiHidden/>
    <w:rsid w:val="008B4D84"/>
    <w:rPr>
      <w:sz w:val="20"/>
      <w:szCs w:val="20"/>
    </w:rPr>
  </w:style>
  <w:style w:type="paragraph" w:styleId="CommentSubject">
    <w:name w:val="annotation subject"/>
    <w:basedOn w:val="CommentText"/>
    <w:next w:val="CommentText"/>
    <w:link w:val="CommentSubjectChar"/>
    <w:uiPriority w:val="99"/>
    <w:semiHidden/>
    <w:unhideWhenUsed/>
    <w:rsid w:val="008B4D84"/>
    <w:rPr>
      <w:b/>
      <w:bCs/>
    </w:rPr>
  </w:style>
  <w:style w:type="character" w:customStyle="1" w:styleId="CommentSubjectChar">
    <w:name w:val="Comment Subject Char"/>
    <w:basedOn w:val="CommentTextChar"/>
    <w:link w:val="CommentSubject"/>
    <w:uiPriority w:val="99"/>
    <w:semiHidden/>
    <w:rsid w:val="008B4D84"/>
    <w:rPr>
      <w:b/>
      <w:bCs/>
      <w:sz w:val="20"/>
      <w:szCs w:val="20"/>
    </w:rPr>
  </w:style>
  <w:style w:type="paragraph" w:styleId="FootnoteText">
    <w:name w:val="footnote text"/>
    <w:basedOn w:val="Normal"/>
    <w:link w:val="FootnoteTextChar"/>
    <w:uiPriority w:val="99"/>
    <w:semiHidden/>
    <w:unhideWhenUsed/>
    <w:rsid w:val="004B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97"/>
    <w:rPr>
      <w:sz w:val="20"/>
      <w:szCs w:val="20"/>
    </w:rPr>
  </w:style>
  <w:style w:type="character" w:styleId="FootnoteReference">
    <w:name w:val="footnote reference"/>
    <w:basedOn w:val="DefaultParagraphFont"/>
    <w:uiPriority w:val="99"/>
    <w:semiHidden/>
    <w:unhideWhenUsed/>
    <w:rsid w:val="004B1597"/>
    <w:rPr>
      <w:vertAlign w:val="superscript"/>
    </w:rPr>
  </w:style>
  <w:style w:type="character" w:styleId="Hyperlink">
    <w:name w:val="Hyperlink"/>
    <w:basedOn w:val="DefaultParagraphFont"/>
    <w:uiPriority w:val="99"/>
    <w:unhideWhenUsed/>
    <w:rsid w:val="004B1597"/>
    <w:rPr>
      <w:color w:val="0563C1" w:themeColor="hyperlink"/>
      <w:u w:val="single"/>
    </w:rPr>
  </w:style>
  <w:style w:type="paragraph" w:customStyle="1" w:styleId="naisf">
    <w:name w:val="naisf"/>
    <w:basedOn w:val="Normal"/>
    <w:rsid w:val="00C30A09"/>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E7DF7-0000-4F72-84CC-E29BCD8C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1935</Words>
  <Characters>11034</Characters>
  <Application>Microsoft Office Word</Application>
  <DocSecurity>0</DocSecurity>
  <Lines>91</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 Adama</cp:lastModifiedBy>
  <cp:revision>7</cp:revision>
  <cp:lastPrinted>2018-05-28T05:35:00Z</cp:lastPrinted>
  <dcterms:created xsi:type="dcterms:W3CDTF">2020-10-07T06:12:00Z</dcterms:created>
  <dcterms:modified xsi:type="dcterms:W3CDTF">2020-10-07T06:17:00Z</dcterms:modified>
</cp:coreProperties>
</file>